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E4F74" w14:textId="77777777" w:rsidR="004301AF" w:rsidRPr="005D7206" w:rsidRDefault="004301AF" w:rsidP="005D7206">
      <w:pPr>
        <w:jc w:val="center"/>
        <w:rPr>
          <w:rFonts w:cs="Times New Roman"/>
          <w:szCs w:val="24"/>
        </w:rPr>
      </w:pPr>
      <w:bookmarkStart w:id="0" w:name="_GoBack"/>
      <w:bookmarkEnd w:id="0"/>
      <w:r w:rsidRPr="005D7206">
        <w:rPr>
          <w:rFonts w:cs="Times New Roman"/>
          <w:szCs w:val="24"/>
        </w:rPr>
        <w:t>Task Force 2 Issues</w:t>
      </w:r>
    </w:p>
    <w:p w14:paraId="45DAD85A" w14:textId="77777777" w:rsidR="007355CF" w:rsidRPr="005D7206" w:rsidRDefault="00645699" w:rsidP="005D7206">
      <w:pPr>
        <w:jc w:val="center"/>
        <w:rPr>
          <w:rFonts w:cs="Times New Roman"/>
          <w:szCs w:val="24"/>
        </w:rPr>
      </w:pPr>
      <w:r>
        <w:rPr>
          <w:rFonts w:cs="Times New Roman"/>
          <w:szCs w:val="24"/>
        </w:rPr>
        <w:t xml:space="preserve">Summary of </w:t>
      </w:r>
      <w:r w:rsidR="004301AF" w:rsidRPr="005D7206">
        <w:rPr>
          <w:rFonts w:cs="Times New Roman"/>
          <w:szCs w:val="24"/>
        </w:rPr>
        <w:t>Hurricane Harvey Follow-Up</w:t>
      </w:r>
    </w:p>
    <w:p w14:paraId="77AACBE9" w14:textId="5FE69C08" w:rsidR="004301AF" w:rsidRPr="00DF7EF2" w:rsidRDefault="00645699" w:rsidP="005D7206">
      <w:pPr>
        <w:jc w:val="center"/>
        <w:rPr>
          <w:rFonts w:cs="Times New Roman"/>
          <w:b/>
          <w:szCs w:val="24"/>
        </w:rPr>
      </w:pPr>
      <w:r w:rsidRPr="00DF7EF2">
        <w:rPr>
          <w:rFonts w:cs="Times New Roman"/>
          <w:b/>
          <w:szCs w:val="24"/>
        </w:rPr>
        <w:t>(</w:t>
      </w:r>
      <w:r w:rsidR="00B604B4" w:rsidRPr="00DF7EF2">
        <w:rPr>
          <w:rFonts w:cs="Times New Roman"/>
          <w:b/>
          <w:szCs w:val="24"/>
          <w:u w:val="single"/>
        </w:rPr>
        <w:t>See</w:t>
      </w:r>
      <w:r w:rsidRPr="00DF7EF2">
        <w:rPr>
          <w:rFonts w:cs="Times New Roman"/>
          <w:b/>
          <w:szCs w:val="24"/>
          <w:u w:val="single"/>
        </w:rPr>
        <w:t xml:space="preserve"> Attachment</w:t>
      </w:r>
      <w:r w:rsidR="00DF7EF2">
        <w:rPr>
          <w:rFonts w:cs="Times New Roman"/>
          <w:b/>
          <w:szCs w:val="24"/>
          <w:u w:val="single"/>
        </w:rPr>
        <w:t xml:space="preserve"> (Utility Responses)</w:t>
      </w:r>
      <w:r w:rsidRPr="00DF7EF2">
        <w:rPr>
          <w:rFonts w:cs="Times New Roman"/>
          <w:b/>
          <w:szCs w:val="24"/>
          <w:u w:val="single"/>
        </w:rPr>
        <w:t xml:space="preserve"> for detailed utility specific responses</w:t>
      </w:r>
      <w:r w:rsidRPr="00DF7EF2">
        <w:rPr>
          <w:rFonts w:cs="Times New Roman"/>
          <w:b/>
          <w:szCs w:val="24"/>
        </w:rPr>
        <w:t>)</w:t>
      </w:r>
    </w:p>
    <w:p w14:paraId="6E5D93F7" w14:textId="77777777" w:rsidR="00956367" w:rsidRPr="005D7206" w:rsidRDefault="00956367" w:rsidP="005D7206">
      <w:pPr>
        <w:pStyle w:val="Heading1"/>
        <w:ind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Hurricane-Related Flood Protection for Electric Utility Facilities</w:t>
      </w:r>
    </w:p>
    <w:p w14:paraId="17026158" w14:textId="77777777" w:rsidR="00956367" w:rsidRDefault="00956367" w:rsidP="005D7206">
      <w:pPr>
        <w:pStyle w:val="Heading2"/>
        <w:ind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Describe the extent to which your facilities (e.g. a substation) were flooded as a result of Hurricane Harvey and compare that flooding to prior flo</w:t>
      </w:r>
      <w:r w:rsidR="001C497B" w:rsidRPr="005D7206">
        <w:rPr>
          <w:rFonts w:ascii="Times New Roman" w:hAnsi="Times New Roman" w:cs="Times New Roman"/>
          <w:color w:val="auto"/>
          <w:sz w:val="24"/>
          <w:szCs w:val="24"/>
        </w:rPr>
        <w:t>oding</w:t>
      </w:r>
      <w:r w:rsidR="00AF6E32" w:rsidRPr="005D7206">
        <w:rPr>
          <w:rFonts w:ascii="Times New Roman" w:hAnsi="Times New Roman" w:cs="Times New Roman"/>
          <w:color w:val="auto"/>
          <w:sz w:val="24"/>
          <w:szCs w:val="24"/>
        </w:rPr>
        <w:t xml:space="preserve"> in at least the 15 years before Hurricane Harvey</w:t>
      </w:r>
      <w:r w:rsidRPr="005D7206">
        <w:rPr>
          <w:rFonts w:ascii="Times New Roman" w:hAnsi="Times New Roman" w:cs="Times New Roman"/>
          <w:color w:val="auto"/>
          <w:sz w:val="24"/>
          <w:szCs w:val="24"/>
        </w:rPr>
        <w:t>.</w:t>
      </w:r>
    </w:p>
    <w:p w14:paraId="515D3520" w14:textId="77777777" w:rsidR="004923B2" w:rsidRDefault="004923B2" w:rsidP="004923B2">
      <w:pPr>
        <w:ind w:firstLine="0"/>
      </w:pPr>
    </w:p>
    <w:p w14:paraId="7FCBE363" w14:textId="77777777" w:rsidR="002C5787" w:rsidRDefault="002C5787" w:rsidP="004923B2">
      <w:pPr>
        <w:ind w:firstLine="0"/>
      </w:pPr>
      <w:r>
        <w:t>In general, Harvey caused major wind and some storm surge damage from Matagorda Bay and south while making landfall and then</w:t>
      </w:r>
      <w:r w:rsidR="004923B2">
        <w:t xml:space="preserve"> caused</w:t>
      </w:r>
      <w:r>
        <w:t xml:space="preserve"> major flooding over the following days from Victoria and north generally within 90 miles of the coastline along major rivers and tributaries.  Some utilities have experienced previous flooding events, but not to the magnitude of Harvey, with the exception of CenterPoint during Al</w:t>
      </w:r>
      <w:r w:rsidR="004923B2">
        <w:t>lison in 2001.  Below is a summary of</w:t>
      </w:r>
      <w:r w:rsidR="00FE790C">
        <w:t xml:space="preserve"> the rainfall totals and</w:t>
      </w:r>
      <w:r w:rsidR="004923B2">
        <w:t xml:space="preserve"> notable damages due to flooding during Harvey, with a note of previous substation flooding if applicable.</w:t>
      </w:r>
    </w:p>
    <w:p w14:paraId="4BDF5A34" w14:textId="77777777" w:rsidR="00FE790C" w:rsidRDefault="00FE790C" w:rsidP="004923B2">
      <w:pPr>
        <w:ind w:firstLine="0"/>
      </w:pPr>
    </w:p>
    <w:p w14:paraId="529465DD" w14:textId="77777777" w:rsidR="00FE790C" w:rsidRDefault="00FE790C" w:rsidP="004923B2">
      <w:pPr>
        <w:ind w:firstLine="0"/>
      </w:pPr>
      <w:r>
        <w:rPr>
          <w:noProof/>
        </w:rPr>
        <w:drawing>
          <wp:inline distT="0" distB="0" distL="0" distR="0" wp14:anchorId="6EE0DC90" wp14:editId="437A7B6B">
            <wp:extent cx="5725633" cy="3847674"/>
            <wp:effectExtent l="0" t="0" r="889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25633" cy="3847674"/>
                    </a:xfrm>
                    <a:prstGeom prst="rect">
                      <a:avLst/>
                    </a:prstGeom>
                  </pic:spPr>
                </pic:pic>
              </a:graphicData>
            </a:graphic>
          </wp:inline>
        </w:drawing>
      </w:r>
    </w:p>
    <w:p w14:paraId="2214BB7C" w14:textId="77777777" w:rsidR="00FE790C" w:rsidRDefault="00FE790C" w:rsidP="004923B2">
      <w:pPr>
        <w:ind w:firstLine="0"/>
      </w:pPr>
    </w:p>
    <w:p w14:paraId="1069429D" w14:textId="77777777" w:rsidR="00FE790C" w:rsidRPr="002C5787" w:rsidRDefault="00FE790C" w:rsidP="004923B2">
      <w:pPr>
        <w:ind w:firstLine="0"/>
      </w:pPr>
    </w:p>
    <w:tbl>
      <w:tblPr>
        <w:tblW w:w="9162" w:type="dxa"/>
        <w:tblLook w:val="04A0" w:firstRow="1" w:lastRow="0" w:firstColumn="1" w:lastColumn="0" w:noHBand="0" w:noVBand="1"/>
      </w:tblPr>
      <w:tblGrid>
        <w:gridCol w:w="1141"/>
        <w:gridCol w:w="755"/>
        <w:gridCol w:w="763"/>
        <w:gridCol w:w="1407"/>
        <w:gridCol w:w="994"/>
        <w:gridCol w:w="266"/>
        <w:gridCol w:w="1476"/>
        <w:gridCol w:w="1334"/>
        <w:gridCol w:w="1026"/>
      </w:tblGrid>
      <w:tr w:rsidR="00270600" w:rsidRPr="00270600" w14:paraId="321E4AE7" w14:textId="77777777" w:rsidTr="00F76765">
        <w:trPr>
          <w:trHeight w:val="315"/>
        </w:trPr>
        <w:tc>
          <w:tcPr>
            <w:tcW w:w="9162" w:type="dxa"/>
            <w:gridSpan w:val="9"/>
            <w:tcBorders>
              <w:top w:val="single" w:sz="8" w:space="0" w:color="auto"/>
              <w:left w:val="single" w:sz="8" w:space="0" w:color="auto"/>
              <w:bottom w:val="nil"/>
              <w:right w:val="single" w:sz="8" w:space="0" w:color="000000"/>
            </w:tcBorders>
            <w:shd w:val="clear" w:color="auto" w:fill="auto"/>
            <w:noWrap/>
            <w:vAlign w:val="bottom"/>
            <w:hideMark/>
          </w:tcPr>
          <w:p w14:paraId="312D4E36" w14:textId="77777777" w:rsidR="00270600" w:rsidRPr="00270600" w:rsidRDefault="008909D0" w:rsidP="00270600">
            <w:pPr>
              <w:spacing w:after="0" w:line="240" w:lineRule="auto"/>
              <w:ind w:firstLine="0"/>
              <w:jc w:val="center"/>
              <w:rPr>
                <w:rFonts w:ascii="Calibri" w:eastAsia="Times New Roman" w:hAnsi="Calibri" w:cs="Calibri"/>
                <w:color w:val="000000"/>
                <w:sz w:val="22"/>
              </w:rPr>
            </w:pPr>
            <w:r>
              <w:rPr>
                <w:rFonts w:ascii="Calibri" w:eastAsia="Times New Roman" w:hAnsi="Calibri" w:cs="Calibri"/>
                <w:color w:val="000000"/>
                <w:sz w:val="22"/>
              </w:rPr>
              <w:lastRenderedPageBreak/>
              <w:t xml:space="preserve">HURRICANE HARVEY - </w:t>
            </w:r>
            <w:r w:rsidR="00270600" w:rsidRPr="00270600">
              <w:rPr>
                <w:rFonts w:ascii="Calibri" w:eastAsia="Times New Roman" w:hAnsi="Calibri" w:cs="Calibri"/>
                <w:color w:val="000000"/>
                <w:sz w:val="22"/>
              </w:rPr>
              <w:t>NOTABLE</w:t>
            </w:r>
            <w:r w:rsidR="00757D40">
              <w:rPr>
                <w:rFonts w:ascii="Calibri" w:eastAsia="Times New Roman" w:hAnsi="Calibri" w:cs="Calibri"/>
                <w:color w:val="000000"/>
                <w:sz w:val="22"/>
              </w:rPr>
              <w:t xml:space="preserve"> FLOOD</w:t>
            </w:r>
            <w:r w:rsidR="00270600" w:rsidRPr="00270600">
              <w:rPr>
                <w:rFonts w:ascii="Calibri" w:eastAsia="Times New Roman" w:hAnsi="Calibri" w:cs="Calibri"/>
                <w:color w:val="000000"/>
                <w:sz w:val="22"/>
              </w:rPr>
              <w:t xml:space="preserve"> DAMAGE TO FACILITIES</w:t>
            </w:r>
          </w:p>
        </w:tc>
      </w:tr>
      <w:tr w:rsidR="00270600" w:rsidRPr="00270600" w14:paraId="37A941C3" w14:textId="77777777" w:rsidTr="00F76765">
        <w:trPr>
          <w:trHeight w:val="375"/>
        </w:trPr>
        <w:tc>
          <w:tcPr>
            <w:tcW w:w="1141"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4F2C5F3A" w14:textId="77777777" w:rsidR="00270600" w:rsidRPr="00270600" w:rsidRDefault="00270600" w:rsidP="00270600">
            <w:pPr>
              <w:spacing w:after="0" w:line="240" w:lineRule="auto"/>
              <w:ind w:firstLine="0"/>
              <w:jc w:val="center"/>
              <w:rPr>
                <w:rFonts w:ascii="Calibri" w:eastAsia="Times New Roman" w:hAnsi="Calibri" w:cs="Calibri"/>
                <w:color w:val="000000"/>
                <w:sz w:val="22"/>
              </w:rPr>
            </w:pPr>
            <w:r w:rsidRPr="00270600">
              <w:rPr>
                <w:rFonts w:ascii="Calibri" w:eastAsia="Times New Roman" w:hAnsi="Calibri" w:cs="Calibri"/>
                <w:color w:val="000000"/>
                <w:sz w:val="22"/>
              </w:rPr>
              <w:t>Utility</w:t>
            </w:r>
          </w:p>
        </w:tc>
        <w:tc>
          <w:tcPr>
            <w:tcW w:w="3919" w:type="dxa"/>
            <w:gridSpan w:val="4"/>
            <w:tcBorders>
              <w:top w:val="single" w:sz="8" w:space="0" w:color="auto"/>
              <w:left w:val="nil"/>
              <w:bottom w:val="single" w:sz="4" w:space="0" w:color="auto"/>
              <w:right w:val="single" w:sz="4" w:space="0" w:color="auto"/>
            </w:tcBorders>
            <w:shd w:val="clear" w:color="auto" w:fill="auto"/>
            <w:noWrap/>
            <w:vAlign w:val="bottom"/>
            <w:hideMark/>
          </w:tcPr>
          <w:p w14:paraId="744E0FB4" w14:textId="77777777" w:rsidR="00270600" w:rsidRPr="00270600" w:rsidRDefault="00270600" w:rsidP="00270600">
            <w:pPr>
              <w:spacing w:after="0" w:line="240" w:lineRule="auto"/>
              <w:ind w:firstLine="0"/>
              <w:jc w:val="center"/>
              <w:rPr>
                <w:rFonts w:ascii="Calibri" w:eastAsia="Times New Roman" w:hAnsi="Calibri" w:cs="Calibri"/>
                <w:color w:val="000000"/>
                <w:sz w:val="22"/>
              </w:rPr>
            </w:pPr>
            <w:r w:rsidRPr="00270600">
              <w:rPr>
                <w:rFonts w:ascii="Calibri" w:eastAsia="Times New Roman" w:hAnsi="Calibri" w:cs="Calibri"/>
                <w:color w:val="000000"/>
                <w:sz w:val="22"/>
              </w:rPr>
              <w:t>Flooded Substations</w:t>
            </w:r>
          </w:p>
        </w:tc>
        <w:tc>
          <w:tcPr>
            <w:tcW w:w="266"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71BD7236" w14:textId="77777777" w:rsidR="00270600" w:rsidRPr="00270600" w:rsidRDefault="00270600" w:rsidP="00270600">
            <w:pPr>
              <w:spacing w:after="0" w:line="240" w:lineRule="auto"/>
              <w:ind w:firstLine="0"/>
              <w:jc w:val="center"/>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147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BD36B58" w14:textId="77777777" w:rsidR="00270600" w:rsidRPr="00270600" w:rsidRDefault="00270600" w:rsidP="00270600">
            <w:pPr>
              <w:spacing w:after="0" w:line="240" w:lineRule="auto"/>
              <w:ind w:firstLine="0"/>
              <w:jc w:val="center"/>
              <w:rPr>
                <w:rFonts w:ascii="Calibri" w:eastAsia="Times New Roman" w:hAnsi="Calibri" w:cs="Calibri"/>
                <w:color w:val="000000"/>
                <w:sz w:val="22"/>
              </w:rPr>
            </w:pPr>
            <w:r w:rsidRPr="00270600">
              <w:rPr>
                <w:rFonts w:ascii="Calibri" w:eastAsia="Times New Roman" w:hAnsi="Calibri" w:cs="Calibri"/>
                <w:color w:val="000000"/>
                <w:sz w:val="22"/>
              </w:rPr>
              <w:t>Transmission Line</w:t>
            </w:r>
          </w:p>
        </w:tc>
        <w:tc>
          <w:tcPr>
            <w:tcW w:w="13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8C9CDD5" w14:textId="77777777" w:rsidR="00270600" w:rsidRPr="00270600" w:rsidRDefault="00270600" w:rsidP="00270600">
            <w:pPr>
              <w:spacing w:after="0" w:line="240" w:lineRule="auto"/>
              <w:ind w:firstLine="0"/>
              <w:jc w:val="center"/>
              <w:rPr>
                <w:rFonts w:ascii="Calibri" w:eastAsia="Times New Roman" w:hAnsi="Calibri" w:cs="Calibri"/>
                <w:color w:val="000000"/>
                <w:sz w:val="22"/>
              </w:rPr>
            </w:pPr>
            <w:r w:rsidRPr="00270600">
              <w:rPr>
                <w:rFonts w:ascii="Calibri" w:eastAsia="Times New Roman" w:hAnsi="Calibri" w:cs="Calibri"/>
                <w:color w:val="000000"/>
                <w:sz w:val="22"/>
              </w:rPr>
              <w:t>Distribution Line</w:t>
            </w:r>
          </w:p>
        </w:tc>
        <w:tc>
          <w:tcPr>
            <w:tcW w:w="102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0EA4D6F" w14:textId="77777777" w:rsidR="00270600" w:rsidRPr="00270600" w:rsidRDefault="00270600" w:rsidP="00270600">
            <w:pPr>
              <w:spacing w:after="0" w:line="240" w:lineRule="auto"/>
              <w:ind w:firstLine="0"/>
              <w:jc w:val="center"/>
              <w:rPr>
                <w:rFonts w:ascii="Calibri" w:eastAsia="Times New Roman" w:hAnsi="Calibri" w:cs="Calibri"/>
                <w:color w:val="000000"/>
                <w:sz w:val="22"/>
              </w:rPr>
            </w:pPr>
            <w:r w:rsidRPr="00270600">
              <w:rPr>
                <w:rFonts w:ascii="Calibri" w:eastAsia="Times New Roman" w:hAnsi="Calibri" w:cs="Calibri"/>
                <w:color w:val="000000"/>
                <w:sz w:val="22"/>
              </w:rPr>
              <w:t>Other Facilities</w:t>
            </w:r>
          </w:p>
        </w:tc>
      </w:tr>
      <w:tr w:rsidR="00270600" w:rsidRPr="00270600" w14:paraId="26380BEC" w14:textId="77777777" w:rsidTr="00F76765">
        <w:trPr>
          <w:trHeight w:val="315"/>
        </w:trPr>
        <w:tc>
          <w:tcPr>
            <w:tcW w:w="1141" w:type="dxa"/>
            <w:vMerge/>
            <w:tcBorders>
              <w:top w:val="single" w:sz="8" w:space="0" w:color="auto"/>
              <w:left w:val="single" w:sz="8" w:space="0" w:color="auto"/>
              <w:bottom w:val="single" w:sz="8" w:space="0" w:color="000000"/>
              <w:right w:val="single" w:sz="4" w:space="0" w:color="auto"/>
            </w:tcBorders>
            <w:vAlign w:val="center"/>
            <w:hideMark/>
          </w:tcPr>
          <w:p w14:paraId="734CB6A5"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755" w:type="dxa"/>
            <w:tcBorders>
              <w:top w:val="nil"/>
              <w:left w:val="nil"/>
              <w:bottom w:val="single" w:sz="8" w:space="0" w:color="auto"/>
              <w:right w:val="single" w:sz="4" w:space="0" w:color="auto"/>
            </w:tcBorders>
            <w:shd w:val="clear" w:color="auto" w:fill="auto"/>
            <w:noWrap/>
            <w:vAlign w:val="bottom"/>
            <w:hideMark/>
          </w:tcPr>
          <w:p w14:paraId="6107D751"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Major</w:t>
            </w:r>
          </w:p>
        </w:tc>
        <w:tc>
          <w:tcPr>
            <w:tcW w:w="763" w:type="dxa"/>
            <w:tcBorders>
              <w:top w:val="nil"/>
              <w:left w:val="nil"/>
              <w:bottom w:val="single" w:sz="8" w:space="0" w:color="auto"/>
              <w:right w:val="single" w:sz="4" w:space="0" w:color="auto"/>
            </w:tcBorders>
            <w:shd w:val="clear" w:color="auto" w:fill="auto"/>
            <w:noWrap/>
            <w:vAlign w:val="bottom"/>
            <w:hideMark/>
          </w:tcPr>
          <w:p w14:paraId="04DC368A"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Minor</w:t>
            </w:r>
          </w:p>
        </w:tc>
        <w:tc>
          <w:tcPr>
            <w:tcW w:w="1407" w:type="dxa"/>
            <w:tcBorders>
              <w:top w:val="nil"/>
              <w:left w:val="nil"/>
              <w:bottom w:val="single" w:sz="8" w:space="0" w:color="auto"/>
              <w:right w:val="single" w:sz="4" w:space="0" w:color="auto"/>
            </w:tcBorders>
            <w:shd w:val="clear" w:color="auto" w:fill="auto"/>
            <w:noWrap/>
            <w:vAlign w:val="bottom"/>
            <w:hideMark/>
          </w:tcPr>
          <w:p w14:paraId="0F250621"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Storm Surge</w:t>
            </w:r>
          </w:p>
        </w:tc>
        <w:tc>
          <w:tcPr>
            <w:tcW w:w="994" w:type="dxa"/>
            <w:tcBorders>
              <w:top w:val="nil"/>
              <w:left w:val="nil"/>
              <w:bottom w:val="single" w:sz="8" w:space="0" w:color="auto"/>
              <w:right w:val="single" w:sz="4" w:space="0" w:color="auto"/>
            </w:tcBorders>
            <w:shd w:val="clear" w:color="auto" w:fill="auto"/>
            <w:noWrap/>
            <w:vAlign w:val="center"/>
            <w:hideMark/>
          </w:tcPr>
          <w:p w14:paraId="1A68EA18"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Previous</w:t>
            </w:r>
          </w:p>
        </w:tc>
        <w:tc>
          <w:tcPr>
            <w:tcW w:w="266" w:type="dxa"/>
            <w:vMerge/>
            <w:tcBorders>
              <w:top w:val="single" w:sz="8" w:space="0" w:color="auto"/>
              <w:left w:val="single" w:sz="4" w:space="0" w:color="auto"/>
              <w:bottom w:val="single" w:sz="8" w:space="0" w:color="000000"/>
              <w:right w:val="single" w:sz="4" w:space="0" w:color="auto"/>
            </w:tcBorders>
            <w:vAlign w:val="center"/>
            <w:hideMark/>
          </w:tcPr>
          <w:p w14:paraId="45E966D9"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1476" w:type="dxa"/>
            <w:vMerge/>
            <w:tcBorders>
              <w:top w:val="single" w:sz="8" w:space="0" w:color="auto"/>
              <w:left w:val="single" w:sz="4" w:space="0" w:color="auto"/>
              <w:bottom w:val="single" w:sz="8" w:space="0" w:color="000000"/>
              <w:right w:val="single" w:sz="4" w:space="0" w:color="auto"/>
            </w:tcBorders>
            <w:vAlign w:val="center"/>
            <w:hideMark/>
          </w:tcPr>
          <w:p w14:paraId="261B5B4A"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1334" w:type="dxa"/>
            <w:vMerge/>
            <w:tcBorders>
              <w:top w:val="single" w:sz="8" w:space="0" w:color="auto"/>
              <w:left w:val="single" w:sz="4" w:space="0" w:color="auto"/>
              <w:bottom w:val="single" w:sz="8" w:space="0" w:color="000000"/>
              <w:right w:val="single" w:sz="4" w:space="0" w:color="auto"/>
            </w:tcBorders>
            <w:vAlign w:val="center"/>
            <w:hideMark/>
          </w:tcPr>
          <w:p w14:paraId="0289F22A"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1026" w:type="dxa"/>
            <w:vMerge/>
            <w:tcBorders>
              <w:top w:val="single" w:sz="8" w:space="0" w:color="auto"/>
              <w:left w:val="single" w:sz="4" w:space="0" w:color="auto"/>
              <w:bottom w:val="single" w:sz="8" w:space="0" w:color="000000"/>
              <w:right w:val="single" w:sz="8" w:space="0" w:color="auto"/>
            </w:tcBorders>
            <w:vAlign w:val="center"/>
            <w:hideMark/>
          </w:tcPr>
          <w:p w14:paraId="011BE54B" w14:textId="77777777" w:rsidR="00270600" w:rsidRPr="00270600" w:rsidRDefault="00270600" w:rsidP="00270600">
            <w:pPr>
              <w:spacing w:after="0" w:line="240" w:lineRule="auto"/>
              <w:ind w:firstLine="0"/>
              <w:rPr>
                <w:rFonts w:ascii="Calibri" w:eastAsia="Times New Roman" w:hAnsi="Calibri" w:cs="Calibri"/>
                <w:color w:val="000000"/>
                <w:sz w:val="22"/>
              </w:rPr>
            </w:pPr>
          </w:p>
        </w:tc>
      </w:tr>
      <w:tr w:rsidR="00270600" w:rsidRPr="00270600" w14:paraId="17B10717" w14:textId="77777777" w:rsidTr="00F76765">
        <w:trPr>
          <w:trHeight w:val="300"/>
        </w:trPr>
        <w:tc>
          <w:tcPr>
            <w:tcW w:w="1141" w:type="dxa"/>
            <w:tcBorders>
              <w:top w:val="nil"/>
              <w:left w:val="single" w:sz="8" w:space="0" w:color="auto"/>
              <w:bottom w:val="single" w:sz="4" w:space="0" w:color="auto"/>
              <w:right w:val="single" w:sz="4" w:space="0" w:color="auto"/>
            </w:tcBorders>
            <w:shd w:val="clear" w:color="auto" w:fill="auto"/>
            <w:noWrap/>
            <w:vAlign w:val="bottom"/>
            <w:hideMark/>
          </w:tcPr>
          <w:p w14:paraId="4F2E2482"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ETI</w:t>
            </w:r>
          </w:p>
        </w:tc>
        <w:tc>
          <w:tcPr>
            <w:tcW w:w="755" w:type="dxa"/>
            <w:tcBorders>
              <w:top w:val="nil"/>
              <w:left w:val="nil"/>
              <w:bottom w:val="single" w:sz="4" w:space="0" w:color="auto"/>
              <w:right w:val="single" w:sz="4" w:space="0" w:color="auto"/>
            </w:tcBorders>
            <w:shd w:val="clear" w:color="auto" w:fill="auto"/>
            <w:noWrap/>
            <w:vAlign w:val="bottom"/>
            <w:hideMark/>
          </w:tcPr>
          <w:p w14:paraId="383B7CBC"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6</w:t>
            </w:r>
          </w:p>
        </w:tc>
        <w:tc>
          <w:tcPr>
            <w:tcW w:w="763" w:type="dxa"/>
            <w:tcBorders>
              <w:top w:val="nil"/>
              <w:left w:val="nil"/>
              <w:bottom w:val="single" w:sz="4" w:space="0" w:color="auto"/>
              <w:right w:val="single" w:sz="4" w:space="0" w:color="auto"/>
            </w:tcBorders>
            <w:shd w:val="clear" w:color="auto" w:fill="auto"/>
            <w:noWrap/>
            <w:vAlign w:val="bottom"/>
            <w:hideMark/>
          </w:tcPr>
          <w:p w14:paraId="5D2D10DC"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11</w:t>
            </w:r>
          </w:p>
        </w:tc>
        <w:tc>
          <w:tcPr>
            <w:tcW w:w="1407" w:type="dxa"/>
            <w:tcBorders>
              <w:top w:val="nil"/>
              <w:left w:val="nil"/>
              <w:bottom w:val="single" w:sz="4" w:space="0" w:color="auto"/>
              <w:right w:val="single" w:sz="4" w:space="0" w:color="auto"/>
            </w:tcBorders>
            <w:shd w:val="clear" w:color="auto" w:fill="auto"/>
            <w:noWrap/>
            <w:vAlign w:val="bottom"/>
            <w:hideMark/>
          </w:tcPr>
          <w:p w14:paraId="24ECBC96"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994" w:type="dxa"/>
            <w:tcBorders>
              <w:top w:val="nil"/>
              <w:left w:val="nil"/>
              <w:bottom w:val="single" w:sz="4" w:space="0" w:color="auto"/>
              <w:right w:val="single" w:sz="4" w:space="0" w:color="auto"/>
            </w:tcBorders>
            <w:shd w:val="clear" w:color="auto" w:fill="auto"/>
            <w:noWrap/>
            <w:vAlign w:val="bottom"/>
            <w:hideMark/>
          </w:tcPr>
          <w:p w14:paraId="290B9937"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2</w:t>
            </w:r>
          </w:p>
        </w:tc>
        <w:tc>
          <w:tcPr>
            <w:tcW w:w="266" w:type="dxa"/>
            <w:tcBorders>
              <w:top w:val="nil"/>
              <w:left w:val="nil"/>
              <w:bottom w:val="single" w:sz="4" w:space="0" w:color="auto"/>
              <w:right w:val="single" w:sz="4" w:space="0" w:color="auto"/>
            </w:tcBorders>
            <w:shd w:val="clear" w:color="auto" w:fill="auto"/>
            <w:noWrap/>
            <w:vAlign w:val="bottom"/>
            <w:hideMark/>
          </w:tcPr>
          <w:p w14:paraId="3D019AD6"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1476" w:type="dxa"/>
            <w:tcBorders>
              <w:top w:val="nil"/>
              <w:left w:val="nil"/>
              <w:bottom w:val="single" w:sz="4" w:space="0" w:color="auto"/>
              <w:right w:val="single" w:sz="4" w:space="0" w:color="auto"/>
            </w:tcBorders>
            <w:shd w:val="clear" w:color="auto" w:fill="auto"/>
            <w:vAlign w:val="bottom"/>
            <w:hideMark/>
          </w:tcPr>
          <w:p w14:paraId="019DE501"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1334" w:type="dxa"/>
            <w:tcBorders>
              <w:top w:val="nil"/>
              <w:left w:val="nil"/>
              <w:bottom w:val="single" w:sz="4" w:space="0" w:color="auto"/>
              <w:right w:val="single" w:sz="4" w:space="0" w:color="auto"/>
            </w:tcBorders>
            <w:shd w:val="clear" w:color="auto" w:fill="auto"/>
            <w:vAlign w:val="bottom"/>
            <w:hideMark/>
          </w:tcPr>
          <w:p w14:paraId="21670200"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Yes</w:t>
            </w:r>
          </w:p>
        </w:tc>
        <w:tc>
          <w:tcPr>
            <w:tcW w:w="1026" w:type="dxa"/>
            <w:tcBorders>
              <w:top w:val="nil"/>
              <w:left w:val="nil"/>
              <w:bottom w:val="single" w:sz="4" w:space="0" w:color="auto"/>
              <w:right w:val="single" w:sz="8" w:space="0" w:color="auto"/>
            </w:tcBorders>
            <w:shd w:val="clear" w:color="auto" w:fill="auto"/>
            <w:vAlign w:val="bottom"/>
            <w:hideMark/>
          </w:tcPr>
          <w:p w14:paraId="07C47B0B"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r>
      <w:tr w:rsidR="00270600" w:rsidRPr="00270600" w14:paraId="01843451" w14:textId="77777777" w:rsidTr="00F76765">
        <w:trPr>
          <w:trHeight w:val="300"/>
        </w:trPr>
        <w:tc>
          <w:tcPr>
            <w:tcW w:w="1141" w:type="dxa"/>
            <w:tcBorders>
              <w:top w:val="nil"/>
              <w:left w:val="single" w:sz="8" w:space="0" w:color="auto"/>
              <w:bottom w:val="single" w:sz="4" w:space="0" w:color="auto"/>
              <w:right w:val="single" w:sz="4" w:space="0" w:color="auto"/>
            </w:tcBorders>
            <w:shd w:val="clear" w:color="auto" w:fill="auto"/>
            <w:noWrap/>
            <w:vAlign w:val="bottom"/>
            <w:hideMark/>
          </w:tcPr>
          <w:p w14:paraId="7D69AE05"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TNMP</w:t>
            </w:r>
          </w:p>
        </w:tc>
        <w:tc>
          <w:tcPr>
            <w:tcW w:w="755" w:type="dxa"/>
            <w:tcBorders>
              <w:top w:val="nil"/>
              <w:left w:val="nil"/>
              <w:bottom w:val="single" w:sz="4" w:space="0" w:color="auto"/>
              <w:right w:val="single" w:sz="4" w:space="0" w:color="auto"/>
            </w:tcBorders>
            <w:shd w:val="clear" w:color="auto" w:fill="auto"/>
            <w:noWrap/>
            <w:vAlign w:val="bottom"/>
            <w:hideMark/>
          </w:tcPr>
          <w:p w14:paraId="5A45E1E6" w14:textId="77777777" w:rsidR="00270600" w:rsidRPr="00270600" w:rsidRDefault="00E41225" w:rsidP="00270600">
            <w:pPr>
              <w:spacing w:after="0" w:line="240" w:lineRule="auto"/>
              <w:ind w:firstLine="0"/>
              <w:jc w:val="right"/>
              <w:rPr>
                <w:rFonts w:ascii="Calibri" w:eastAsia="Times New Roman" w:hAnsi="Calibri" w:cs="Calibri"/>
                <w:color w:val="000000"/>
                <w:sz w:val="22"/>
              </w:rPr>
            </w:pPr>
            <w:r>
              <w:rPr>
                <w:rFonts w:ascii="Calibri" w:eastAsia="Times New Roman" w:hAnsi="Calibri" w:cs="Calibri"/>
                <w:color w:val="000000"/>
                <w:sz w:val="22"/>
              </w:rPr>
              <w:t>0</w:t>
            </w:r>
          </w:p>
        </w:tc>
        <w:tc>
          <w:tcPr>
            <w:tcW w:w="763" w:type="dxa"/>
            <w:tcBorders>
              <w:top w:val="nil"/>
              <w:left w:val="nil"/>
              <w:bottom w:val="single" w:sz="4" w:space="0" w:color="auto"/>
              <w:right w:val="single" w:sz="4" w:space="0" w:color="auto"/>
            </w:tcBorders>
            <w:shd w:val="clear" w:color="auto" w:fill="auto"/>
            <w:noWrap/>
            <w:vAlign w:val="bottom"/>
            <w:hideMark/>
          </w:tcPr>
          <w:p w14:paraId="45F82253" w14:textId="77777777" w:rsidR="00270600" w:rsidRPr="00270600" w:rsidRDefault="00E41225" w:rsidP="00270600">
            <w:pPr>
              <w:spacing w:after="0" w:line="240" w:lineRule="auto"/>
              <w:ind w:firstLine="0"/>
              <w:jc w:val="right"/>
              <w:rPr>
                <w:rFonts w:ascii="Calibri" w:eastAsia="Times New Roman" w:hAnsi="Calibri" w:cs="Calibri"/>
                <w:color w:val="000000"/>
                <w:sz w:val="22"/>
              </w:rPr>
            </w:pPr>
            <w:r>
              <w:rPr>
                <w:rFonts w:ascii="Calibri" w:eastAsia="Times New Roman" w:hAnsi="Calibri" w:cs="Calibri"/>
                <w:color w:val="000000"/>
                <w:sz w:val="22"/>
              </w:rPr>
              <w:t>1</w:t>
            </w:r>
          </w:p>
        </w:tc>
        <w:tc>
          <w:tcPr>
            <w:tcW w:w="1407" w:type="dxa"/>
            <w:tcBorders>
              <w:top w:val="nil"/>
              <w:left w:val="nil"/>
              <w:bottom w:val="single" w:sz="4" w:space="0" w:color="auto"/>
              <w:right w:val="single" w:sz="4" w:space="0" w:color="auto"/>
            </w:tcBorders>
            <w:shd w:val="clear" w:color="auto" w:fill="auto"/>
            <w:noWrap/>
            <w:vAlign w:val="bottom"/>
            <w:hideMark/>
          </w:tcPr>
          <w:p w14:paraId="5B49A7F6"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994" w:type="dxa"/>
            <w:tcBorders>
              <w:top w:val="nil"/>
              <w:left w:val="nil"/>
              <w:bottom w:val="single" w:sz="4" w:space="0" w:color="auto"/>
              <w:right w:val="single" w:sz="4" w:space="0" w:color="auto"/>
            </w:tcBorders>
            <w:shd w:val="clear" w:color="auto" w:fill="auto"/>
            <w:noWrap/>
            <w:vAlign w:val="bottom"/>
            <w:hideMark/>
          </w:tcPr>
          <w:p w14:paraId="33BD7218"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266" w:type="dxa"/>
            <w:tcBorders>
              <w:top w:val="nil"/>
              <w:left w:val="nil"/>
              <w:bottom w:val="single" w:sz="4" w:space="0" w:color="auto"/>
              <w:right w:val="single" w:sz="4" w:space="0" w:color="auto"/>
            </w:tcBorders>
            <w:shd w:val="clear" w:color="auto" w:fill="auto"/>
            <w:noWrap/>
            <w:vAlign w:val="bottom"/>
            <w:hideMark/>
          </w:tcPr>
          <w:p w14:paraId="05CEC183"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1476" w:type="dxa"/>
            <w:tcBorders>
              <w:top w:val="nil"/>
              <w:left w:val="nil"/>
              <w:bottom w:val="single" w:sz="4" w:space="0" w:color="auto"/>
              <w:right w:val="single" w:sz="4" w:space="0" w:color="auto"/>
            </w:tcBorders>
            <w:shd w:val="clear" w:color="auto" w:fill="auto"/>
            <w:vAlign w:val="bottom"/>
            <w:hideMark/>
          </w:tcPr>
          <w:p w14:paraId="67E27A4E"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1334" w:type="dxa"/>
            <w:tcBorders>
              <w:top w:val="nil"/>
              <w:left w:val="nil"/>
              <w:bottom w:val="single" w:sz="4" w:space="0" w:color="auto"/>
              <w:right w:val="single" w:sz="4" w:space="0" w:color="auto"/>
            </w:tcBorders>
            <w:shd w:val="clear" w:color="auto" w:fill="auto"/>
            <w:vAlign w:val="bottom"/>
            <w:hideMark/>
          </w:tcPr>
          <w:p w14:paraId="767AF99E"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Yes</w:t>
            </w:r>
          </w:p>
        </w:tc>
        <w:tc>
          <w:tcPr>
            <w:tcW w:w="1026" w:type="dxa"/>
            <w:tcBorders>
              <w:top w:val="nil"/>
              <w:left w:val="nil"/>
              <w:bottom w:val="single" w:sz="4" w:space="0" w:color="auto"/>
              <w:right w:val="single" w:sz="8" w:space="0" w:color="auto"/>
            </w:tcBorders>
            <w:shd w:val="clear" w:color="auto" w:fill="auto"/>
            <w:vAlign w:val="bottom"/>
            <w:hideMark/>
          </w:tcPr>
          <w:p w14:paraId="66C72931"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1</w:t>
            </w:r>
          </w:p>
        </w:tc>
      </w:tr>
      <w:tr w:rsidR="00270600" w:rsidRPr="00270600" w14:paraId="7D5C8E0C" w14:textId="77777777" w:rsidTr="00F76765">
        <w:trPr>
          <w:trHeight w:val="300"/>
        </w:trPr>
        <w:tc>
          <w:tcPr>
            <w:tcW w:w="1141" w:type="dxa"/>
            <w:tcBorders>
              <w:top w:val="nil"/>
              <w:left w:val="single" w:sz="8" w:space="0" w:color="auto"/>
              <w:bottom w:val="single" w:sz="4" w:space="0" w:color="auto"/>
              <w:right w:val="single" w:sz="4" w:space="0" w:color="auto"/>
            </w:tcBorders>
            <w:shd w:val="clear" w:color="auto" w:fill="auto"/>
            <w:noWrap/>
            <w:vAlign w:val="bottom"/>
            <w:hideMark/>
          </w:tcPr>
          <w:p w14:paraId="47D7B009"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AEP TX</w:t>
            </w:r>
          </w:p>
        </w:tc>
        <w:tc>
          <w:tcPr>
            <w:tcW w:w="755" w:type="dxa"/>
            <w:tcBorders>
              <w:top w:val="nil"/>
              <w:left w:val="nil"/>
              <w:bottom w:val="single" w:sz="4" w:space="0" w:color="auto"/>
              <w:right w:val="single" w:sz="4" w:space="0" w:color="auto"/>
            </w:tcBorders>
            <w:shd w:val="clear" w:color="auto" w:fill="auto"/>
            <w:noWrap/>
            <w:vAlign w:val="bottom"/>
            <w:hideMark/>
          </w:tcPr>
          <w:p w14:paraId="38893458"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0</w:t>
            </w:r>
          </w:p>
        </w:tc>
        <w:tc>
          <w:tcPr>
            <w:tcW w:w="763" w:type="dxa"/>
            <w:tcBorders>
              <w:top w:val="nil"/>
              <w:left w:val="nil"/>
              <w:bottom w:val="single" w:sz="4" w:space="0" w:color="auto"/>
              <w:right w:val="single" w:sz="4" w:space="0" w:color="auto"/>
            </w:tcBorders>
            <w:shd w:val="clear" w:color="auto" w:fill="auto"/>
            <w:noWrap/>
            <w:vAlign w:val="bottom"/>
            <w:hideMark/>
          </w:tcPr>
          <w:p w14:paraId="02A9E891"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0</w:t>
            </w:r>
          </w:p>
        </w:tc>
        <w:tc>
          <w:tcPr>
            <w:tcW w:w="1407" w:type="dxa"/>
            <w:tcBorders>
              <w:top w:val="nil"/>
              <w:left w:val="nil"/>
              <w:bottom w:val="single" w:sz="4" w:space="0" w:color="auto"/>
              <w:right w:val="single" w:sz="4" w:space="0" w:color="auto"/>
            </w:tcBorders>
            <w:shd w:val="clear" w:color="auto" w:fill="auto"/>
            <w:noWrap/>
            <w:vAlign w:val="bottom"/>
            <w:hideMark/>
          </w:tcPr>
          <w:p w14:paraId="4B4BB8EC"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Yes</w:t>
            </w:r>
          </w:p>
        </w:tc>
        <w:tc>
          <w:tcPr>
            <w:tcW w:w="994" w:type="dxa"/>
            <w:tcBorders>
              <w:top w:val="nil"/>
              <w:left w:val="nil"/>
              <w:bottom w:val="single" w:sz="4" w:space="0" w:color="auto"/>
              <w:right w:val="single" w:sz="4" w:space="0" w:color="auto"/>
            </w:tcBorders>
            <w:shd w:val="clear" w:color="auto" w:fill="auto"/>
            <w:noWrap/>
            <w:vAlign w:val="bottom"/>
            <w:hideMark/>
          </w:tcPr>
          <w:p w14:paraId="3302230F"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266" w:type="dxa"/>
            <w:tcBorders>
              <w:top w:val="nil"/>
              <w:left w:val="nil"/>
              <w:bottom w:val="single" w:sz="4" w:space="0" w:color="auto"/>
              <w:right w:val="single" w:sz="4" w:space="0" w:color="auto"/>
            </w:tcBorders>
            <w:shd w:val="clear" w:color="auto" w:fill="auto"/>
            <w:noWrap/>
            <w:vAlign w:val="bottom"/>
            <w:hideMark/>
          </w:tcPr>
          <w:p w14:paraId="7407C173"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1476" w:type="dxa"/>
            <w:tcBorders>
              <w:top w:val="nil"/>
              <w:left w:val="nil"/>
              <w:bottom w:val="single" w:sz="4" w:space="0" w:color="auto"/>
              <w:right w:val="single" w:sz="4" w:space="0" w:color="auto"/>
            </w:tcBorders>
            <w:shd w:val="clear" w:color="auto" w:fill="auto"/>
            <w:vAlign w:val="bottom"/>
            <w:hideMark/>
          </w:tcPr>
          <w:p w14:paraId="68955229"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1334" w:type="dxa"/>
            <w:tcBorders>
              <w:top w:val="nil"/>
              <w:left w:val="nil"/>
              <w:bottom w:val="single" w:sz="4" w:space="0" w:color="auto"/>
              <w:right w:val="single" w:sz="4" w:space="0" w:color="auto"/>
            </w:tcBorders>
            <w:shd w:val="clear" w:color="auto" w:fill="auto"/>
            <w:vAlign w:val="bottom"/>
            <w:hideMark/>
          </w:tcPr>
          <w:p w14:paraId="437DD2A0"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1026" w:type="dxa"/>
            <w:tcBorders>
              <w:top w:val="nil"/>
              <w:left w:val="nil"/>
              <w:bottom w:val="single" w:sz="4" w:space="0" w:color="auto"/>
              <w:right w:val="single" w:sz="8" w:space="0" w:color="auto"/>
            </w:tcBorders>
            <w:shd w:val="clear" w:color="auto" w:fill="auto"/>
            <w:vAlign w:val="bottom"/>
            <w:hideMark/>
          </w:tcPr>
          <w:p w14:paraId="4D0614E6"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r>
      <w:tr w:rsidR="00270600" w:rsidRPr="00270600" w14:paraId="0EBB5DAA" w14:textId="77777777" w:rsidTr="00F76765">
        <w:trPr>
          <w:trHeight w:val="900"/>
        </w:trPr>
        <w:tc>
          <w:tcPr>
            <w:tcW w:w="1141" w:type="dxa"/>
            <w:tcBorders>
              <w:top w:val="nil"/>
              <w:left w:val="single" w:sz="8" w:space="0" w:color="auto"/>
              <w:bottom w:val="single" w:sz="4" w:space="0" w:color="auto"/>
              <w:right w:val="single" w:sz="4" w:space="0" w:color="auto"/>
            </w:tcBorders>
            <w:shd w:val="clear" w:color="auto" w:fill="auto"/>
            <w:noWrap/>
            <w:vAlign w:val="bottom"/>
            <w:hideMark/>
          </w:tcPr>
          <w:p w14:paraId="62C26209"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CNP</w:t>
            </w:r>
          </w:p>
        </w:tc>
        <w:tc>
          <w:tcPr>
            <w:tcW w:w="755" w:type="dxa"/>
            <w:tcBorders>
              <w:top w:val="nil"/>
              <w:left w:val="nil"/>
              <w:bottom w:val="single" w:sz="4" w:space="0" w:color="auto"/>
              <w:right w:val="single" w:sz="4" w:space="0" w:color="auto"/>
            </w:tcBorders>
            <w:shd w:val="clear" w:color="auto" w:fill="auto"/>
            <w:noWrap/>
            <w:vAlign w:val="bottom"/>
            <w:hideMark/>
          </w:tcPr>
          <w:p w14:paraId="5637E0E3"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8</w:t>
            </w:r>
          </w:p>
        </w:tc>
        <w:tc>
          <w:tcPr>
            <w:tcW w:w="763" w:type="dxa"/>
            <w:tcBorders>
              <w:top w:val="nil"/>
              <w:left w:val="nil"/>
              <w:bottom w:val="single" w:sz="4" w:space="0" w:color="auto"/>
              <w:right w:val="single" w:sz="4" w:space="0" w:color="auto"/>
            </w:tcBorders>
            <w:shd w:val="clear" w:color="auto" w:fill="auto"/>
            <w:noWrap/>
            <w:vAlign w:val="bottom"/>
            <w:hideMark/>
          </w:tcPr>
          <w:p w14:paraId="38BB5AB4"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0</w:t>
            </w:r>
          </w:p>
        </w:tc>
        <w:tc>
          <w:tcPr>
            <w:tcW w:w="1407" w:type="dxa"/>
            <w:tcBorders>
              <w:top w:val="nil"/>
              <w:left w:val="nil"/>
              <w:bottom w:val="single" w:sz="4" w:space="0" w:color="auto"/>
              <w:right w:val="single" w:sz="4" w:space="0" w:color="auto"/>
            </w:tcBorders>
            <w:shd w:val="clear" w:color="auto" w:fill="auto"/>
            <w:noWrap/>
            <w:vAlign w:val="bottom"/>
            <w:hideMark/>
          </w:tcPr>
          <w:p w14:paraId="069376FF"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0</w:t>
            </w:r>
          </w:p>
        </w:tc>
        <w:tc>
          <w:tcPr>
            <w:tcW w:w="994" w:type="dxa"/>
            <w:tcBorders>
              <w:top w:val="nil"/>
              <w:left w:val="nil"/>
              <w:bottom w:val="single" w:sz="4" w:space="0" w:color="auto"/>
              <w:right w:val="single" w:sz="4" w:space="0" w:color="auto"/>
            </w:tcBorders>
            <w:shd w:val="clear" w:color="auto" w:fill="auto"/>
            <w:noWrap/>
            <w:vAlign w:val="bottom"/>
            <w:hideMark/>
          </w:tcPr>
          <w:p w14:paraId="6248D2AD"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Yes</w:t>
            </w:r>
          </w:p>
        </w:tc>
        <w:tc>
          <w:tcPr>
            <w:tcW w:w="266" w:type="dxa"/>
            <w:tcBorders>
              <w:top w:val="nil"/>
              <w:left w:val="nil"/>
              <w:bottom w:val="single" w:sz="4" w:space="0" w:color="auto"/>
              <w:right w:val="single" w:sz="4" w:space="0" w:color="auto"/>
            </w:tcBorders>
            <w:shd w:val="clear" w:color="auto" w:fill="auto"/>
            <w:noWrap/>
            <w:vAlign w:val="bottom"/>
            <w:hideMark/>
          </w:tcPr>
          <w:p w14:paraId="1EC71FF9"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1476" w:type="dxa"/>
            <w:tcBorders>
              <w:top w:val="nil"/>
              <w:left w:val="nil"/>
              <w:bottom w:val="single" w:sz="4" w:space="0" w:color="auto"/>
              <w:right w:val="single" w:sz="4" w:space="0" w:color="auto"/>
            </w:tcBorders>
            <w:shd w:val="clear" w:color="auto" w:fill="auto"/>
            <w:vAlign w:val="bottom"/>
            <w:hideMark/>
          </w:tcPr>
          <w:p w14:paraId="5822673A"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3 River Crossing Structures</w:t>
            </w:r>
          </w:p>
        </w:tc>
        <w:tc>
          <w:tcPr>
            <w:tcW w:w="1334" w:type="dxa"/>
            <w:tcBorders>
              <w:top w:val="nil"/>
              <w:left w:val="nil"/>
              <w:bottom w:val="single" w:sz="4" w:space="0" w:color="auto"/>
              <w:right w:val="single" w:sz="4" w:space="0" w:color="auto"/>
            </w:tcBorders>
            <w:shd w:val="clear" w:color="auto" w:fill="auto"/>
            <w:vAlign w:val="bottom"/>
            <w:hideMark/>
          </w:tcPr>
          <w:p w14:paraId="3ADEF8C2"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Yes, and 83 URD Vaults</w:t>
            </w:r>
          </w:p>
        </w:tc>
        <w:tc>
          <w:tcPr>
            <w:tcW w:w="1026" w:type="dxa"/>
            <w:tcBorders>
              <w:top w:val="nil"/>
              <w:left w:val="nil"/>
              <w:bottom w:val="single" w:sz="4" w:space="0" w:color="auto"/>
              <w:right w:val="single" w:sz="8" w:space="0" w:color="auto"/>
            </w:tcBorders>
            <w:shd w:val="clear" w:color="auto" w:fill="auto"/>
            <w:vAlign w:val="bottom"/>
            <w:hideMark/>
          </w:tcPr>
          <w:p w14:paraId="16F9F868"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r>
      <w:tr w:rsidR="00270600" w:rsidRPr="00270600" w14:paraId="585F3B9B" w14:textId="77777777" w:rsidTr="00F76765">
        <w:trPr>
          <w:trHeight w:val="300"/>
        </w:trPr>
        <w:tc>
          <w:tcPr>
            <w:tcW w:w="1141" w:type="dxa"/>
            <w:tcBorders>
              <w:top w:val="nil"/>
              <w:left w:val="single" w:sz="8" w:space="0" w:color="auto"/>
              <w:bottom w:val="single" w:sz="4" w:space="0" w:color="auto"/>
              <w:right w:val="single" w:sz="4" w:space="0" w:color="auto"/>
            </w:tcBorders>
            <w:shd w:val="clear" w:color="auto" w:fill="auto"/>
            <w:noWrap/>
            <w:vAlign w:val="bottom"/>
            <w:hideMark/>
          </w:tcPr>
          <w:p w14:paraId="4504F8DB" w14:textId="573DD65D" w:rsidR="00270600" w:rsidRPr="00270600" w:rsidRDefault="00270600" w:rsidP="00193D94">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LCRA</w:t>
            </w:r>
            <w:r w:rsidR="00193D94">
              <w:rPr>
                <w:rFonts w:ascii="Calibri" w:eastAsia="Times New Roman" w:hAnsi="Calibri" w:cs="Calibri"/>
                <w:color w:val="000000"/>
                <w:sz w:val="22"/>
              </w:rPr>
              <w:t xml:space="preserve"> </w:t>
            </w:r>
            <w:r w:rsidR="00430173">
              <w:rPr>
                <w:rFonts w:ascii="Calibri" w:eastAsia="Times New Roman" w:hAnsi="Calibri" w:cs="Calibri"/>
                <w:color w:val="000000"/>
                <w:sz w:val="22"/>
              </w:rPr>
              <w:t>TSC</w:t>
            </w:r>
          </w:p>
        </w:tc>
        <w:tc>
          <w:tcPr>
            <w:tcW w:w="755" w:type="dxa"/>
            <w:tcBorders>
              <w:top w:val="nil"/>
              <w:left w:val="nil"/>
              <w:bottom w:val="single" w:sz="4" w:space="0" w:color="auto"/>
              <w:right w:val="single" w:sz="4" w:space="0" w:color="auto"/>
            </w:tcBorders>
            <w:shd w:val="clear" w:color="auto" w:fill="auto"/>
            <w:noWrap/>
            <w:vAlign w:val="bottom"/>
            <w:hideMark/>
          </w:tcPr>
          <w:p w14:paraId="6ACBC8F1"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0</w:t>
            </w:r>
          </w:p>
        </w:tc>
        <w:tc>
          <w:tcPr>
            <w:tcW w:w="763" w:type="dxa"/>
            <w:tcBorders>
              <w:top w:val="nil"/>
              <w:left w:val="nil"/>
              <w:bottom w:val="single" w:sz="4" w:space="0" w:color="auto"/>
              <w:right w:val="single" w:sz="4" w:space="0" w:color="auto"/>
            </w:tcBorders>
            <w:shd w:val="clear" w:color="auto" w:fill="auto"/>
            <w:noWrap/>
            <w:vAlign w:val="bottom"/>
            <w:hideMark/>
          </w:tcPr>
          <w:p w14:paraId="26E8A829"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0</w:t>
            </w:r>
          </w:p>
        </w:tc>
        <w:tc>
          <w:tcPr>
            <w:tcW w:w="1407" w:type="dxa"/>
            <w:tcBorders>
              <w:top w:val="nil"/>
              <w:left w:val="nil"/>
              <w:bottom w:val="single" w:sz="4" w:space="0" w:color="auto"/>
              <w:right w:val="single" w:sz="4" w:space="0" w:color="auto"/>
            </w:tcBorders>
            <w:shd w:val="clear" w:color="auto" w:fill="auto"/>
            <w:noWrap/>
            <w:vAlign w:val="bottom"/>
            <w:hideMark/>
          </w:tcPr>
          <w:p w14:paraId="4687E1DE"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0</w:t>
            </w:r>
          </w:p>
        </w:tc>
        <w:tc>
          <w:tcPr>
            <w:tcW w:w="994" w:type="dxa"/>
            <w:tcBorders>
              <w:top w:val="nil"/>
              <w:left w:val="nil"/>
              <w:bottom w:val="single" w:sz="4" w:space="0" w:color="auto"/>
              <w:right w:val="single" w:sz="4" w:space="0" w:color="auto"/>
            </w:tcBorders>
            <w:shd w:val="clear" w:color="auto" w:fill="auto"/>
            <w:noWrap/>
            <w:vAlign w:val="bottom"/>
            <w:hideMark/>
          </w:tcPr>
          <w:p w14:paraId="65F0EB98"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r w:rsidR="002434E7">
              <w:rPr>
                <w:rFonts w:ascii="Calibri" w:eastAsia="Times New Roman" w:hAnsi="Calibri" w:cs="Calibri"/>
                <w:color w:val="000000"/>
                <w:sz w:val="22"/>
              </w:rPr>
              <w:t>Yes</w:t>
            </w:r>
          </w:p>
        </w:tc>
        <w:tc>
          <w:tcPr>
            <w:tcW w:w="266" w:type="dxa"/>
            <w:tcBorders>
              <w:top w:val="nil"/>
              <w:left w:val="nil"/>
              <w:bottom w:val="single" w:sz="4" w:space="0" w:color="auto"/>
              <w:right w:val="single" w:sz="4" w:space="0" w:color="auto"/>
            </w:tcBorders>
            <w:shd w:val="clear" w:color="auto" w:fill="auto"/>
            <w:noWrap/>
            <w:vAlign w:val="bottom"/>
            <w:hideMark/>
          </w:tcPr>
          <w:p w14:paraId="668B2046"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1476" w:type="dxa"/>
            <w:tcBorders>
              <w:top w:val="nil"/>
              <w:left w:val="nil"/>
              <w:bottom w:val="single" w:sz="4" w:space="0" w:color="auto"/>
              <w:right w:val="single" w:sz="4" w:space="0" w:color="auto"/>
            </w:tcBorders>
            <w:shd w:val="clear" w:color="auto" w:fill="auto"/>
            <w:vAlign w:val="bottom"/>
            <w:hideMark/>
          </w:tcPr>
          <w:p w14:paraId="02621984"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r w:rsidR="002434E7">
              <w:rPr>
                <w:rFonts w:ascii="Calibri" w:eastAsia="Times New Roman" w:hAnsi="Calibri" w:cs="Calibri"/>
                <w:color w:val="000000"/>
                <w:sz w:val="22"/>
              </w:rPr>
              <w:t>No</w:t>
            </w:r>
          </w:p>
        </w:tc>
        <w:tc>
          <w:tcPr>
            <w:tcW w:w="1334" w:type="dxa"/>
            <w:tcBorders>
              <w:top w:val="nil"/>
              <w:left w:val="nil"/>
              <w:bottom w:val="single" w:sz="4" w:space="0" w:color="auto"/>
              <w:right w:val="single" w:sz="4" w:space="0" w:color="auto"/>
            </w:tcBorders>
            <w:shd w:val="clear" w:color="auto" w:fill="auto"/>
            <w:vAlign w:val="bottom"/>
            <w:hideMark/>
          </w:tcPr>
          <w:p w14:paraId="087988A4" w14:textId="77777777" w:rsidR="00270600" w:rsidRPr="00270600" w:rsidRDefault="002434E7" w:rsidP="00270600">
            <w:pPr>
              <w:spacing w:after="0" w:line="240" w:lineRule="auto"/>
              <w:ind w:firstLine="0"/>
              <w:rPr>
                <w:rFonts w:ascii="Calibri" w:eastAsia="Times New Roman" w:hAnsi="Calibri" w:cs="Calibri"/>
                <w:color w:val="000000"/>
                <w:sz w:val="22"/>
              </w:rPr>
            </w:pPr>
            <w:r>
              <w:rPr>
                <w:rFonts w:ascii="Calibri" w:eastAsia="Times New Roman" w:hAnsi="Calibri" w:cs="Calibri"/>
                <w:color w:val="000000"/>
                <w:sz w:val="22"/>
              </w:rPr>
              <w:t>No</w:t>
            </w:r>
          </w:p>
        </w:tc>
        <w:tc>
          <w:tcPr>
            <w:tcW w:w="1026" w:type="dxa"/>
            <w:tcBorders>
              <w:top w:val="nil"/>
              <w:left w:val="nil"/>
              <w:bottom w:val="single" w:sz="4" w:space="0" w:color="auto"/>
              <w:right w:val="single" w:sz="8" w:space="0" w:color="auto"/>
            </w:tcBorders>
            <w:shd w:val="clear" w:color="auto" w:fill="auto"/>
            <w:vAlign w:val="bottom"/>
            <w:hideMark/>
          </w:tcPr>
          <w:p w14:paraId="397BAB16" w14:textId="77777777" w:rsidR="00270600" w:rsidRPr="00270600" w:rsidRDefault="002434E7" w:rsidP="00270600">
            <w:pPr>
              <w:spacing w:after="0" w:line="240" w:lineRule="auto"/>
              <w:ind w:firstLine="0"/>
              <w:rPr>
                <w:rFonts w:ascii="Calibri" w:eastAsia="Times New Roman" w:hAnsi="Calibri" w:cs="Calibri"/>
                <w:color w:val="000000"/>
                <w:sz w:val="22"/>
              </w:rPr>
            </w:pPr>
            <w:r>
              <w:rPr>
                <w:rFonts w:ascii="Calibri" w:eastAsia="Times New Roman" w:hAnsi="Calibri" w:cs="Calibri"/>
                <w:color w:val="000000"/>
                <w:sz w:val="22"/>
              </w:rPr>
              <w:t>No</w:t>
            </w:r>
          </w:p>
        </w:tc>
      </w:tr>
      <w:tr w:rsidR="00270600" w:rsidRPr="00270600" w14:paraId="5A18BA0B" w14:textId="77777777" w:rsidTr="00F76765">
        <w:trPr>
          <w:trHeight w:val="315"/>
        </w:trPr>
        <w:tc>
          <w:tcPr>
            <w:tcW w:w="1141" w:type="dxa"/>
            <w:tcBorders>
              <w:top w:val="nil"/>
              <w:left w:val="single" w:sz="8" w:space="0" w:color="auto"/>
              <w:bottom w:val="single" w:sz="8" w:space="0" w:color="auto"/>
              <w:right w:val="single" w:sz="4" w:space="0" w:color="auto"/>
            </w:tcBorders>
            <w:shd w:val="clear" w:color="auto" w:fill="auto"/>
            <w:noWrap/>
            <w:vAlign w:val="bottom"/>
            <w:hideMark/>
          </w:tcPr>
          <w:p w14:paraId="587E84F2"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Sharyland</w:t>
            </w:r>
          </w:p>
        </w:tc>
        <w:tc>
          <w:tcPr>
            <w:tcW w:w="755" w:type="dxa"/>
            <w:tcBorders>
              <w:top w:val="nil"/>
              <w:left w:val="nil"/>
              <w:bottom w:val="single" w:sz="8" w:space="0" w:color="auto"/>
              <w:right w:val="single" w:sz="4" w:space="0" w:color="auto"/>
            </w:tcBorders>
            <w:shd w:val="clear" w:color="auto" w:fill="auto"/>
            <w:noWrap/>
            <w:vAlign w:val="bottom"/>
            <w:hideMark/>
          </w:tcPr>
          <w:p w14:paraId="08BF1760"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0</w:t>
            </w:r>
          </w:p>
        </w:tc>
        <w:tc>
          <w:tcPr>
            <w:tcW w:w="763" w:type="dxa"/>
            <w:tcBorders>
              <w:top w:val="nil"/>
              <w:left w:val="nil"/>
              <w:bottom w:val="single" w:sz="8" w:space="0" w:color="auto"/>
              <w:right w:val="single" w:sz="4" w:space="0" w:color="auto"/>
            </w:tcBorders>
            <w:shd w:val="clear" w:color="auto" w:fill="auto"/>
            <w:noWrap/>
            <w:vAlign w:val="bottom"/>
            <w:hideMark/>
          </w:tcPr>
          <w:p w14:paraId="25F08116"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0</w:t>
            </w:r>
          </w:p>
        </w:tc>
        <w:tc>
          <w:tcPr>
            <w:tcW w:w="1407" w:type="dxa"/>
            <w:tcBorders>
              <w:top w:val="nil"/>
              <w:left w:val="nil"/>
              <w:bottom w:val="single" w:sz="8" w:space="0" w:color="auto"/>
              <w:right w:val="single" w:sz="4" w:space="0" w:color="auto"/>
            </w:tcBorders>
            <w:shd w:val="clear" w:color="auto" w:fill="auto"/>
            <w:noWrap/>
            <w:vAlign w:val="bottom"/>
            <w:hideMark/>
          </w:tcPr>
          <w:p w14:paraId="16950036"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0</w:t>
            </w:r>
          </w:p>
        </w:tc>
        <w:tc>
          <w:tcPr>
            <w:tcW w:w="994" w:type="dxa"/>
            <w:tcBorders>
              <w:top w:val="nil"/>
              <w:left w:val="nil"/>
              <w:bottom w:val="single" w:sz="8" w:space="0" w:color="auto"/>
              <w:right w:val="single" w:sz="4" w:space="0" w:color="auto"/>
            </w:tcBorders>
            <w:shd w:val="clear" w:color="auto" w:fill="auto"/>
            <w:noWrap/>
            <w:vAlign w:val="bottom"/>
            <w:hideMark/>
          </w:tcPr>
          <w:p w14:paraId="6D35DB93" w14:textId="77777777" w:rsidR="00270600" w:rsidRPr="00270600" w:rsidRDefault="00270600" w:rsidP="00270600">
            <w:pPr>
              <w:spacing w:after="0" w:line="240" w:lineRule="auto"/>
              <w:ind w:firstLine="0"/>
              <w:jc w:val="right"/>
              <w:rPr>
                <w:rFonts w:ascii="Calibri" w:eastAsia="Times New Roman" w:hAnsi="Calibri" w:cs="Calibri"/>
                <w:color w:val="000000"/>
                <w:sz w:val="22"/>
              </w:rPr>
            </w:pPr>
            <w:r w:rsidRPr="00270600">
              <w:rPr>
                <w:rFonts w:ascii="Calibri" w:eastAsia="Times New Roman" w:hAnsi="Calibri" w:cs="Calibri"/>
                <w:color w:val="000000"/>
                <w:sz w:val="22"/>
              </w:rPr>
              <w:t>0</w:t>
            </w:r>
          </w:p>
        </w:tc>
        <w:tc>
          <w:tcPr>
            <w:tcW w:w="266" w:type="dxa"/>
            <w:tcBorders>
              <w:top w:val="nil"/>
              <w:left w:val="nil"/>
              <w:bottom w:val="single" w:sz="8" w:space="0" w:color="auto"/>
              <w:right w:val="single" w:sz="4" w:space="0" w:color="auto"/>
            </w:tcBorders>
            <w:shd w:val="clear" w:color="auto" w:fill="auto"/>
            <w:noWrap/>
            <w:vAlign w:val="bottom"/>
            <w:hideMark/>
          </w:tcPr>
          <w:p w14:paraId="46358CF0"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p>
        </w:tc>
        <w:tc>
          <w:tcPr>
            <w:tcW w:w="1476" w:type="dxa"/>
            <w:tcBorders>
              <w:top w:val="nil"/>
              <w:left w:val="nil"/>
              <w:bottom w:val="single" w:sz="8" w:space="0" w:color="auto"/>
              <w:right w:val="single" w:sz="4" w:space="0" w:color="auto"/>
            </w:tcBorders>
            <w:shd w:val="clear" w:color="auto" w:fill="auto"/>
            <w:vAlign w:val="bottom"/>
            <w:hideMark/>
          </w:tcPr>
          <w:p w14:paraId="0F6CBAD1" w14:textId="77777777" w:rsidR="00270600" w:rsidRPr="00270600" w:rsidRDefault="00270600" w:rsidP="00270600">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w:t>
            </w:r>
            <w:r w:rsidR="007E6021">
              <w:rPr>
                <w:rFonts w:ascii="Calibri" w:eastAsia="Times New Roman" w:hAnsi="Calibri" w:cs="Calibri"/>
                <w:color w:val="000000"/>
                <w:sz w:val="22"/>
              </w:rPr>
              <w:t>No</w:t>
            </w:r>
          </w:p>
        </w:tc>
        <w:tc>
          <w:tcPr>
            <w:tcW w:w="1334" w:type="dxa"/>
            <w:tcBorders>
              <w:top w:val="nil"/>
              <w:left w:val="nil"/>
              <w:bottom w:val="single" w:sz="8" w:space="0" w:color="auto"/>
              <w:right w:val="single" w:sz="4" w:space="0" w:color="auto"/>
            </w:tcBorders>
            <w:shd w:val="clear" w:color="auto" w:fill="auto"/>
            <w:vAlign w:val="bottom"/>
            <w:hideMark/>
          </w:tcPr>
          <w:p w14:paraId="59479F6B" w14:textId="77777777" w:rsidR="00270600" w:rsidRPr="00270600" w:rsidRDefault="007E6021" w:rsidP="00270600">
            <w:pPr>
              <w:spacing w:after="0" w:line="240" w:lineRule="auto"/>
              <w:ind w:firstLine="0"/>
              <w:rPr>
                <w:rFonts w:ascii="Calibri" w:eastAsia="Times New Roman" w:hAnsi="Calibri" w:cs="Calibri"/>
                <w:color w:val="000000"/>
                <w:sz w:val="22"/>
              </w:rPr>
            </w:pPr>
            <w:r>
              <w:rPr>
                <w:rFonts w:ascii="Calibri" w:eastAsia="Times New Roman" w:hAnsi="Calibri" w:cs="Calibri"/>
                <w:color w:val="000000"/>
                <w:sz w:val="22"/>
              </w:rPr>
              <w:t>No</w:t>
            </w:r>
          </w:p>
        </w:tc>
        <w:tc>
          <w:tcPr>
            <w:tcW w:w="1026" w:type="dxa"/>
            <w:tcBorders>
              <w:top w:val="nil"/>
              <w:left w:val="nil"/>
              <w:bottom w:val="single" w:sz="8" w:space="0" w:color="auto"/>
              <w:right w:val="single" w:sz="8" w:space="0" w:color="auto"/>
            </w:tcBorders>
            <w:shd w:val="clear" w:color="auto" w:fill="auto"/>
            <w:vAlign w:val="bottom"/>
            <w:hideMark/>
          </w:tcPr>
          <w:p w14:paraId="2BBBAE41" w14:textId="77777777" w:rsidR="00270600" w:rsidRPr="00270600" w:rsidRDefault="007E6021" w:rsidP="00270600">
            <w:pPr>
              <w:spacing w:after="0" w:line="240" w:lineRule="auto"/>
              <w:ind w:firstLine="0"/>
              <w:rPr>
                <w:rFonts w:ascii="Calibri" w:eastAsia="Times New Roman" w:hAnsi="Calibri" w:cs="Calibri"/>
                <w:color w:val="000000"/>
                <w:sz w:val="22"/>
              </w:rPr>
            </w:pPr>
            <w:r>
              <w:rPr>
                <w:rFonts w:ascii="Calibri" w:eastAsia="Times New Roman" w:hAnsi="Calibri" w:cs="Calibri"/>
                <w:color w:val="000000"/>
                <w:sz w:val="22"/>
              </w:rPr>
              <w:t>No</w:t>
            </w:r>
          </w:p>
        </w:tc>
      </w:tr>
      <w:tr w:rsidR="00270600" w:rsidRPr="00270600" w14:paraId="2B287675" w14:textId="77777777" w:rsidTr="00F76765">
        <w:trPr>
          <w:trHeight w:val="300"/>
        </w:trPr>
        <w:tc>
          <w:tcPr>
            <w:tcW w:w="1141" w:type="dxa"/>
            <w:tcBorders>
              <w:top w:val="nil"/>
              <w:left w:val="nil"/>
              <w:bottom w:val="nil"/>
              <w:right w:val="nil"/>
            </w:tcBorders>
            <w:shd w:val="clear" w:color="auto" w:fill="auto"/>
            <w:noWrap/>
            <w:vAlign w:val="bottom"/>
            <w:hideMark/>
          </w:tcPr>
          <w:p w14:paraId="01A62E50"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755" w:type="dxa"/>
            <w:tcBorders>
              <w:top w:val="nil"/>
              <w:left w:val="nil"/>
              <w:bottom w:val="nil"/>
              <w:right w:val="nil"/>
            </w:tcBorders>
            <w:shd w:val="clear" w:color="auto" w:fill="auto"/>
            <w:noWrap/>
            <w:vAlign w:val="bottom"/>
            <w:hideMark/>
          </w:tcPr>
          <w:p w14:paraId="5F4B5F45"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763" w:type="dxa"/>
            <w:tcBorders>
              <w:top w:val="nil"/>
              <w:left w:val="nil"/>
              <w:bottom w:val="nil"/>
              <w:right w:val="nil"/>
            </w:tcBorders>
            <w:shd w:val="clear" w:color="auto" w:fill="auto"/>
            <w:noWrap/>
            <w:vAlign w:val="bottom"/>
            <w:hideMark/>
          </w:tcPr>
          <w:p w14:paraId="6992BA59"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1407" w:type="dxa"/>
            <w:tcBorders>
              <w:top w:val="nil"/>
              <w:left w:val="nil"/>
              <w:bottom w:val="nil"/>
              <w:right w:val="nil"/>
            </w:tcBorders>
            <w:shd w:val="clear" w:color="auto" w:fill="auto"/>
            <w:noWrap/>
            <w:vAlign w:val="bottom"/>
            <w:hideMark/>
          </w:tcPr>
          <w:p w14:paraId="3D03DD4C"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994" w:type="dxa"/>
            <w:tcBorders>
              <w:top w:val="nil"/>
              <w:left w:val="nil"/>
              <w:bottom w:val="nil"/>
              <w:right w:val="nil"/>
            </w:tcBorders>
            <w:shd w:val="clear" w:color="auto" w:fill="auto"/>
            <w:noWrap/>
            <w:vAlign w:val="bottom"/>
            <w:hideMark/>
          </w:tcPr>
          <w:p w14:paraId="584D74D7"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266" w:type="dxa"/>
            <w:tcBorders>
              <w:top w:val="nil"/>
              <w:left w:val="nil"/>
              <w:bottom w:val="nil"/>
              <w:right w:val="nil"/>
            </w:tcBorders>
            <w:shd w:val="clear" w:color="auto" w:fill="auto"/>
            <w:noWrap/>
            <w:vAlign w:val="bottom"/>
            <w:hideMark/>
          </w:tcPr>
          <w:p w14:paraId="2E8839D8"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1476" w:type="dxa"/>
            <w:tcBorders>
              <w:top w:val="nil"/>
              <w:left w:val="nil"/>
              <w:bottom w:val="nil"/>
              <w:right w:val="nil"/>
            </w:tcBorders>
            <w:shd w:val="clear" w:color="auto" w:fill="auto"/>
            <w:vAlign w:val="bottom"/>
            <w:hideMark/>
          </w:tcPr>
          <w:p w14:paraId="3B1FCFDD"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1334" w:type="dxa"/>
            <w:tcBorders>
              <w:top w:val="nil"/>
              <w:left w:val="nil"/>
              <w:bottom w:val="nil"/>
              <w:right w:val="nil"/>
            </w:tcBorders>
            <w:shd w:val="clear" w:color="auto" w:fill="auto"/>
            <w:vAlign w:val="bottom"/>
            <w:hideMark/>
          </w:tcPr>
          <w:p w14:paraId="4E761432" w14:textId="77777777" w:rsidR="00270600" w:rsidRPr="00270600" w:rsidRDefault="00270600" w:rsidP="00270600">
            <w:pPr>
              <w:spacing w:after="0" w:line="240" w:lineRule="auto"/>
              <w:ind w:firstLine="0"/>
              <w:rPr>
                <w:rFonts w:ascii="Calibri" w:eastAsia="Times New Roman" w:hAnsi="Calibri" w:cs="Calibri"/>
                <w:color w:val="000000"/>
                <w:sz w:val="22"/>
              </w:rPr>
            </w:pPr>
          </w:p>
        </w:tc>
        <w:tc>
          <w:tcPr>
            <w:tcW w:w="1026" w:type="dxa"/>
            <w:tcBorders>
              <w:top w:val="nil"/>
              <w:left w:val="nil"/>
              <w:bottom w:val="nil"/>
              <w:right w:val="nil"/>
            </w:tcBorders>
            <w:shd w:val="clear" w:color="auto" w:fill="auto"/>
            <w:vAlign w:val="bottom"/>
            <w:hideMark/>
          </w:tcPr>
          <w:p w14:paraId="22F1A3DF" w14:textId="77777777" w:rsidR="00270600" w:rsidRPr="00270600" w:rsidRDefault="00270600" w:rsidP="00270600">
            <w:pPr>
              <w:spacing w:after="0" w:line="240" w:lineRule="auto"/>
              <w:ind w:firstLine="0"/>
              <w:rPr>
                <w:rFonts w:ascii="Calibri" w:eastAsia="Times New Roman" w:hAnsi="Calibri" w:cs="Calibri"/>
                <w:color w:val="000000"/>
                <w:sz w:val="22"/>
              </w:rPr>
            </w:pPr>
          </w:p>
        </w:tc>
      </w:tr>
      <w:tr w:rsidR="00270600" w:rsidRPr="00270600" w14:paraId="2DF16843" w14:textId="77777777" w:rsidTr="00F76765">
        <w:trPr>
          <w:trHeight w:val="585"/>
        </w:trPr>
        <w:tc>
          <w:tcPr>
            <w:tcW w:w="9162" w:type="dxa"/>
            <w:gridSpan w:val="9"/>
            <w:tcBorders>
              <w:top w:val="nil"/>
              <w:left w:val="nil"/>
              <w:bottom w:val="nil"/>
              <w:right w:val="nil"/>
            </w:tcBorders>
            <w:shd w:val="clear" w:color="auto" w:fill="auto"/>
            <w:vAlign w:val="bottom"/>
            <w:hideMark/>
          </w:tcPr>
          <w:p w14:paraId="4A55352E" w14:textId="77777777" w:rsidR="00270600" w:rsidRDefault="00270600" w:rsidP="00FE790C">
            <w:pPr>
              <w:spacing w:after="0" w:line="240" w:lineRule="auto"/>
              <w:ind w:firstLine="0"/>
              <w:rPr>
                <w:rFonts w:ascii="Calibri" w:eastAsia="Times New Roman" w:hAnsi="Calibri" w:cs="Calibri"/>
                <w:color w:val="000000"/>
                <w:sz w:val="22"/>
              </w:rPr>
            </w:pPr>
            <w:r w:rsidRPr="00270600">
              <w:rPr>
                <w:rFonts w:ascii="Calibri" w:eastAsia="Times New Roman" w:hAnsi="Calibri" w:cs="Calibri"/>
                <w:color w:val="000000"/>
                <w:sz w:val="22"/>
              </w:rPr>
              <w:t xml:space="preserve">Major - </w:t>
            </w:r>
            <w:r w:rsidR="00FE790C">
              <w:rPr>
                <w:rFonts w:ascii="Calibri" w:eastAsia="Times New Roman" w:hAnsi="Calibri" w:cs="Calibri"/>
                <w:color w:val="000000"/>
                <w:sz w:val="22"/>
              </w:rPr>
              <w:t>Significant w</w:t>
            </w:r>
            <w:r w:rsidRPr="00270600">
              <w:rPr>
                <w:rFonts w:ascii="Calibri" w:eastAsia="Times New Roman" w:hAnsi="Calibri" w:cs="Calibri"/>
                <w:color w:val="000000"/>
                <w:sz w:val="22"/>
              </w:rPr>
              <w:t>ater in control house affecting electronics and/or water affecting electrical equipment within the substation fence.</w:t>
            </w:r>
          </w:p>
          <w:p w14:paraId="41E5F4E9" w14:textId="77777777" w:rsidR="00430173" w:rsidRPr="00270600" w:rsidRDefault="00430173" w:rsidP="00430173">
            <w:pPr>
              <w:spacing w:after="0" w:line="240" w:lineRule="auto"/>
              <w:ind w:firstLine="0"/>
              <w:rPr>
                <w:rFonts w:ascii="Calibri" w:eastAsia="Times New Roman" w:hAnsi="Calibri" w:cs="Calibri"/>
                <w:color w:val="000000"/>
                <w:sz w:val="22"/>
              </w:rPr>
            </w:pPr>
            <w:r>
              <w:rPr>
                <w:rFonts w:ascii="Calibri" w:eastAsia="Times New Roman" w:hAnsi="Calibri" w:cs="Calibri"/>
                <w:color w:val="000000"/>
                <w:sz w:val="22"/>
              </w:rPr>
              <w:t>URD</w:t>
            </w:r>
            <w:r w:rsidRPr="00270600">
              <w:rPr>
                <w:rFonts w:ascii="Calibri" w:eastAsia="Times New Roman" w:hAnsi="Calibri" w:cs="Calibri"/>
                <w:color w:val="000000"/>
                <w:sz w:val="22"/>
              </w:rPr>
              <w:t xml:space="preserve"> - </w:t>
            </w:r>
            <w:r>
              <w:rPr>
                <w:rFonts w:ascii="Calibri" w:eastAsia="Times New Roman" w:hAnsi="Calibri" w:cs="Calibri"/>
                <w:color w:val="000000"/>
                <w:sz w:val="22"/>
              </w:rPr>
              <w:t>underground.</w:t>
            </w:r>
          </w:p>
        </w:tc>
      </w:tr>
    </w:tbl>
    <w:p w14:paraId="21398F1C" w14:textId="77777777" w:rsidR="00270600" w:rsidRPr="003326D7" w:rsidRDefault="00270600" w:rsidP="00A864D5">
      <w:pPr>
        <w:ind w:left="720" w:firstLine="0"/>
      </w:pPr>
    </w:p>
    <w:p w14:paraId="3833E490" w14:textId="77777777" w:rsidR="00956367" w:rsidRDefault="00956367">
      <w:pPr>
        <w:pStyle w:val="Heading2"/>
        <w:ind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 xml:space="preserve">Describe the steps that you have taken or plan to take in response to flooding resulting from Hurricane Harvey, in order to reduce the risk of </w:t>
      </w:r>
      <w:r w:rsidR="00021913" w:rsidRPr="005D7206">
        <w:rPr>
          <w:rFonts w:ascii="Times New Roman" w:hAnsi="Times New Roman" w:cs="Times New Roman"/>
          <w:color w:val="auto"/>
          <w:sz w:val="24"/>
          <w:szCs w:val="24"/>
        </w:rPr>
        <w:t xml:space="preserve">flood </w:t>
      </w:r>
      <w:r w:rsidRPr="005D7206">
        <w:rPr>
          <w:rFonts w:ascii="Times New Roman" w:hAnsi="Times New Roman" w:cs="Times New Roman"/>
          <w:color w:val="auto"/>
          <w:sz w:val="24"/>
          <w:szCs w:val="24"/>
        </w:rPr>
        <w:t>damage to your facilities in the future.</w:t>
      </w:r>
    </w:p>
    <w:p w14:paraId="39D4356A" w14:textId="77777777" w:rsidR="00B8688C" w:rsidRDefault="00B8688C" w:rsidP="00CC35E7">
      <w:pPr>
        <w:tabs>
          <w:tab w:val="num" w:pos="720"/>
          <w:tab w:val="num" w:pos="1440"/>
        </w:tabs>
        <w:ind w:left="720" w:firstLine="0"/>
      </w:pPr>
    </w:p>
    <w:p w14:paraId="1D11F9D4" w14:textId="688CE6F6" w:rsidR="00101B4C" w:rsidRDefault="00B8688C" w:rsidP="00CC35E7">
      <w:pPr>
        <w:tabs>
          <w:tab w:val="num" w:pos="720"/>
          <w:tab w:val="num" w:pos="1440"/>
        </w:tabs>
        <w:ind w:left="720" w:firstLine="0"/>
      </w:pPr>
      <w:r w:rsidRPr="00B8688C">
        <w:t xml:space="preserve">The </w:t>
      </w:r>
      <w:r w:rsidR="00E41225" w:rsidRPr="00B8688C">
        <w:t>1</w:t>
      </w:r>
      <w:r w:rsidR="00E41225">
        <w:t>4</w:t>
      </w:r>
      <w:r w:rsidR="00E41225" w:rsidRPr="00B8688C">
        <w:t xml:space="preserve"> </w:t>
      </w:r>
      <w:r w:rsidRPr="00B8688C">
        <w:t>substations noted</w:t>
      </w:r>
      <w:r w:rsidR="00E41225">
        <w:t xml:space="preserve"> above</w:t>
      </w:r>
      <w:r w:rsidRPr="00B8688C">
        <w:t xml:space="preserve"> as having major flooding due to Harvey are </w:t>
      </w:r>
      <w:r w:rsidR="00645699">
        <w:t xml:space="preserve">in various stages of </w:t>
      </w:r>
      <w:r w:rsidRPr="00B8688C">
        <w:t>being rebuilt</w:t>
      </w:r>
      <w:r w:rsidR="00645699">
        <w:t>.  The goal is to rebuild the substation equipment above the Harvey flood levels; however, this is impractical in some cases.</w:t>
      </w:r>
      <w:r w:rsidR="00195876">
        <w:t xml:space="preserve"> </w:t>
      </w:r>
      <w:r w:rsidR="00195876" w:rsidRPr="00195876">
        <w:rPr>
          <w:szCs w:val="24"/>
        </w:rPr>
        <w:t xml:space="preserve"> </w:t>
      </w:r>
      <w:r w:rsidR="00195876">
        <w:rPr>
          <w:szCs w:val="24"/>
        </w:rPr>
        <w:t xml:space="preserve">The water sensitive equipment in the major flooded substations </w:t>
      </w:r>
      <w:r w:rsidR="00E41225">
        <w:rPr>
          <w:szCs w:val="24"/>
        </w:rPr>
        <w:t>are in the process of being</w:t>
      </w:r>
      <w:r w:rsidR="00195876">
        <w:rPr>
          <w:szCs w:val="24"/>
        </w:rPr>
        <w:t xml:space="preserve"> raised above the Harvey flood event water levels when practical.  For example, </w:t>
      </w:r>
      <w:r w:rsidR="00195876" w:rsidRPr="00FE790C">
        <w:rPr>
          <w:szCs w:val="24"/>
        </w:rPr>
        <w:t xml:space="preserve">during the restoration of the </w:t>
      </w:r>
      <w:r w:rsidR="00195876">
        <w:rPr>
          <w:szCs w:val="24"/>
        </w:rPr>
        <w:t>flooded control houses which required complete replacement of the control hous</w:t>
      </w:r>
      <w:r w:rsidR="00E41225">
        <w:rPr>
          <w:szCs w:val="24"/>
        </w:rPr>
        <w:t>e</w:t>
      </w:r>
      <w:r w:rsidR="00195876">
        <w:rPr>
          <w:szCs w:val="24"/>
        </w:rPr>
        <w:t>, the foundations were raised at the time of replacement.  This</w:t>
      </w:r>
      <w:r w:rsidR="00E41225">
        <w:rPr>
          <w:szCs w:val="24"/>
        </w:rPr>
        <w:t xml:space="preserve"> also</w:t>
      </w:r>
      <w:r w:rsidR="00195876">
        <w:rPr>
          <w:szCs w:val="24"/>
        </w:rPr>
        <w:t xml:space="preserve"> required replacing all the control wiring</w:t>
      </w:r>
      <w:r w:rsidR="00B57D50">
        <w:rPr>
          <w:szCs w:val="24"/>
        </w:rPr>
        <w:t xml:space="preserve"> from the control house</w:t>
      </w:r>
      <w:r w:rsidR="00195876">
        <w:rPr>
          <w:szCs w:val="24"/>
        </w:rPr>
        <w:t xml:space="preserve"> to the controls in the yard.  The yard equipment </w:t>
      </w:r>
      <w:r w:rsidR="00B57D50">
        <w:rPr>
          <w:szCs w:val="24"/>
        </w:rPr>
        <w:t xml:space="preserve">is also in the process of being </w:t>
      </w:r>
      <w:r w:rsidR="00195876">
        <w:rPr>
          <w:szCs w:val="24"/>
        </w:rPr>
        <w:t xml:space="preserve">raised, but in some instances this was limited due to the clearance to the substation </w:t>
      </w:r>
      <w:r w:rsidR="00B96648">
        <w:rPr>
          <w:szCs w:val="24"/>
        </w:rPr>
        <w:t>bus</w:t>
      </w:r>
      <w:r w:rsidR="00B57D50">
        <w:rPr>
          <w:szCs w:val="24"/>
        </w:rPr>
        <w:t>.  I</w:t>
      </w:r>
      <w:r w:rsidR="00E41225">
        <w:rPr>
          <w:szCs w:val="24"/>
        </w:rPr>
        <w:t xml:space="preserve">n these instances, the equipment could not be raised above the Harvey flood level without rebuilding the substation </w:t>
      </w:r>
      <w:r w:rsidR="00B96648">
        <w:rPr>
          <w:szCs w:val="24"/>
        </w:rPr>
        <w:t>bus framing</w:t>
      </w:r>
      <w:r w:rsidR="00E41225">
        <w:rPr>
          <w:szCs w:val="24"/>
        </w:rPr>
        <w:t>, which is considered</w:t>
      </w:r>
      <w:r w:rsidR="00B57D50">
        <w:rPr>
          <w:szCs w:val="24"/>
        </w:rPr>
        <w:t xml:space="preserve"> to be</w:t>
      </w:r>
      <w:r w:rsidR="00E41225">
        <w:rPr>
          <w:szCs w:val="24"/>
        </w:rPr>
        <w:t xml:space="preserve"> impractical</w:t>
      </w:r>
      <w:r w:rsidR="00195876">
        <w:rPr>
          <w:szCs w:val="24"/>
        </w:rPr>
        <w:t xml:space="preserve">.  </w:t>
      </w:r>
      <w:r w:rsidR="00645699" w:rsidRPr="00FE790C">
        <w:rPr>
          <w:szCs w:val="24"/>
        </w:rPr>
        <w:t>For the</w:t>
      </w:r>
      <w:r w:rsidR="007954CA" w:rsidRPr="00FE790C">
        <w:rPr>
          <w:szCs w:val="24"/>
        </w:rPr>
        <w:t xml:space="preserve"> substations noted as having minor flooding, flood mitigation plans are being developed</w:t>
      </w:r>
      <w:r w:rsidR="00E41225">
        <w:rPr>
          <w:szCs w:val="24"/>
        </w:rPr>
        <w:t xml:space="preserve"> and will be implemented as appropriate to mitigate damaging the water sensitive equipment.  Items being considered include:  Installation of levees, raising equipment, deployment of tiger dams and the use of sandbags at the time of the next event</w:t>
      </w:r>
      <w:r w:rsidR="007954CA" w:rsidRPr="00FE790C">
        <w:rPr>
          <w:szCs w:val="24"/>
        </w:rPr>
        <w:t xml:space="preserve">.  The three river (San Jacinto River) crossing transmission structures were </w:t>
      </w:r>
      <w:r w:rsidR="007954CA">
        <w:t xml:space="preserve">damaged due to floating debris and bank erosion.  </w:t>
      </w:r>
      <w:r w:rsidR="007954CA" w:rsidRPr="000F1770">
        <w:t>The new permanent crossings will be constructed using steel poles with deep drilled shafts, and set farther back from the river bank to minimize the impact of floating debris.  CNP has also initiated a study to further understand the options available for protection of transmission structures, in or near flowing water, from floating debris, bank erosion, etc.  Learnings will be evaluated for application throughout the CNP system.</w:t>
      </w:r>
    </w:p>
    <w:p w14:paraId="55A9F715" w14:textId="43DEE2C7" w:rsidR="00551DF8" w:rsidRPr="00B8688C" w:rsidRDefault="0058225B" w:rsidP="00CC35E7">
      <w:pPr>
        <w:tabs>
          <w:tab w:val="num" w:pos="720"/>
          <w:tab w:val="num" w:pos="1440"/>
        </w:tabs>
        <w:ind w:left="720" w:firstLine="0"/>
      </w:pPr>
      <w:r>
        <w:t xml:space="preserve">While the </w:t>
      </w:r>
      <w:r w:rsidR="00812FBF">
        <w:t>U</w:t>
      </w:r>
      <w:r>
        <w:t>tilities are conducting studies in regard to flood mitigation caused by Hurricane Harvey and on a case by case basis of a 500 year flood event on certain other facilities,</w:t>
      </w:r>
      <w:r w:rsidR="00551DF8">
        <w:t xml:space="preserve"> t</w:t>
      </w:r>
      <w:r w:rsidR="00551DF8" w:rsidRPr="00551DF8">
        <w:t xml:space="preserve">he utilities have not conducted a </w:t>
      </w:r>
      <w:r w:rsidR="00551DF8">
        <w:t>Harvey level</w:t>
      </w:r>
      <w:r>
        <w:t>, wide area,</w:t>
      </w:r>
      <w:r w:rsidR="00551DF8">
        <w:t xml:space="preserve"> </w:t>
      </w:r>
      <w:r w:rsidR="00551DF8" w:rsidRPr="00551DF8">
        <w:t>flood impact analysis on the existing grid beyond</w:t>
      </w:r>
      <w:r w:rsidR="00551DF8">
        <w:t xml:space="preserve"> the impacted area’s actual</w:t>
      </w:r>
      <w:r w:rsidR="00551DF8" w:rsidRPr="00551DF8">
        <w:t xml:space="preserve"> experience during Harvey.</w:t>
      </w:r>
      <w:r w:rsidR="00EE3915" w:rsidRPr="00EE3915">
        <w:t xml:space="preserve"> </w:t>
      </w:r>
      <w:r w:rsidR="00EE3915">
        <w:t xml:space="preserve"> </w:t>
      </w:r>
      <w:r w:rsidR="00EE3915" w:rsidRPr="00EE3915">
        <w:t>In order to perform a wide area flood impact analysis, numerous assumptions would need to be made, substantial data acquired and outside expertise consulted to adequately model the types of impacts that could occur.  For example, the pre- and post-landfall states of the wide area to be studied, including ground saturation, water levels of rivers, creeks, tributaries, lakes and reservoirs, rainfall rates and coverage, duration of the storm, release rates from affected dams, along with other hydrologic and geologic data and forecasting methodologies would have to be incorporated into the analysis.  The utilities believe such a broad, wide area study is currently beyond the capabilities of the utilities’ experts, requiring the use of outside resources, expertise and significant effort to develop consensus on the assumptions to be studied.</w:t>
      </w:r>
    </w:p>
    <w:p w14:paraId="7478BBE4" w14:textId="77777777" w:rsidR="00956367" w:rsidRDefault="00956367">
      <w:pPr>
        <w:pStyle w:val="Heading2"/>
        <w:ind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Explain the elevation standard used for facility construction before and after Hurricane Harvey and explain any changes.</w:t>
      </w:r>
    </w:p>
    <w:p w14:paraId="56CCFCCF" w14:textId="77777777" w:rsidR="00B8688C" w:rsidRDefault="00B8688C" w:rsidP="00CC35E7">
      <w:pPr>
        <w:ind w:left="720" w:firstLine="0"/>
      </w:pPr>
    </w:p>
    <w:p w14:paraId="36F420D9" w14:textId="4742EBA7" w:rsidR="00990F8E" w:rsidRDefault="00990F8E" w:rsidP="00CC35E7">
      <w:pPr>
        <w:ind w:left="720" w:firstLine="0"/>
      </w:pPr>
      <w:r>
        <w:t>The</w:t>
      </w:r>
      <w:r w:rsidR="00812FBF">
        <w:t xml:space="preserve"> Utilities are</w:t>
      </w:r>
      <w:r>
        <w:t xml:space="preserve"> not</w:t>
      </w:r>
      <w:r w:rsidR="00812FBF">
        <w:t xml:space="preserve"> aware of</w:t>
      </w:r>
      <w:r>
        <w:t xml:space="preserve"> an industry standard for substation elevations.  As such the utilities have developed their individual standards depending on factors such as existing floodplains, coastal storm surge, past experiences, and likelihood of flood events.</w:t>
      </w:r>
    </w:p>
    <w:p w14:paraId="110B6918" w14:textId="2DD0903F" w:rsidR="00101B4C" w:rsidRDefault="00812FBF" w:rsidP="00CC35E7">
      <w:pPr>
        <w:ind w:left="720" w:firstLine="0"/>
      </w:pPr>
      <w:r>
        <w:t>The</w:t>
      </w:r>
      <w:r w:rsidRPr="00B8688C">
        <w:t xml:space="preserve"> </w:t>
      </w:r>
      <w:r>
        <w:t>a</w:t>
      </w:r>
      <w:r w:rsidR="001F0A1A" w:rsidRPr="00B8688C">
        <w:t xml:space="preserve">ttached </w:t>
      </w:r>
      <w:r>
        <w:t>s</w:t>
      </w:r>
      <w:r w:rsidR="001F0A1A" w:rsidRPr="00B8688C">
        <w:t>preadsheet</w:t>
      </w:r>
      <w:r>
        <w:t xml:space="preserve"> summarizes the utilities’ elevation standards</w:t>
      </w:r>
      <w:r w:rsidR="001F0A1A" w:rsidRPr="00B8688C">
        <w:t>.</w:t>
      </w:r>
      <w:r w:rsidR="00B8688C">
        <w:t xml:space="preserve"> </w:t>
      </w:r>
    </w:p>
    <w:p w14:paraId="7DCB73AA" w14:textId="538C505D" w:rsidR="00DB6211" w:rsidRDefault="00DB6211" w:rsidP="00DB6211">
      <w:pPr>
        <w:pStyle w:val="Heading2"/>
        <w:ind w:hanging="720"/>
        <w:rPr>
          <w:rFonts w:ascii="Times New Roman" w:hAnsi="Times New Roman" w:cs="Times New Roman"/>
          <w:color w:val="auto"/>
          <w:sz w:val="24"/>
          <w:szCs w:val="24"/>
        </w:rPr>
      </w:pPr>
      <w:r w:rsidRPr="007B219E">
        <w:rPr>
          <w:rFonts w:ascii="Times New Roman" w:hAnsi="Times New Roman" w:cs="Times New Roman"/>
          <w:color w:val="auto"/>
          <w:sz w:val="24"/>
          <w:szCs w:val="24"/>
        </w:rPr>
        <w:t>What data is used to determine current floodplains / base flood elevations</w:t>
      </w:r>
      <w:r w:rsidR="00812FBF">
        <w:rPr>
          <w:rFonts w:ascii="Times New Roman" w:hAnsi="Times New Roman" w:cs="Times New Roman"/>
          <w:color w:val="auto"/>
          <w:sz w:val="24"/>
          <w:szCs w:val="24"/>
        </w:rPr>
        <w:t xml:space="preserve"> (“BFE”)</w:t>
      </w:r>
      <w:r w:rsidRPr="007B219E">
        <w:rPr>
          <w:rFonts w:ascii="Times New Roman" w:hAnsi="Times New Roman" w:cs="Times New Roman"/>
          <w:color w:val="auto"/>
          <w:sz w:val="24"/>
          <w:szCs w:val="24"/>
        </w:rPr>
        <w:t>?</w:t>
      </w:r>
      <w:r>
        <w:rPr>
          <w:rFonts w:ascii="Times New Roman" w:hAnsi="Times New Roman" w:cs="Times New Roman"/>
          <w:color w:val="auto"/>
          <w:sz w:val="24"/>
          <w:szCs w:val="24"/>
        </w:rPr>
        <w:t xml:space="preserve">  </w:t>
      </w:r>
      <w:r w:rsidRPr="007B219E">
        <w:rPr>
          <w:rFonts w:ascii="Times New Roman" w:hAnsi="Times New Roman" w:cs="Times New Roman"/>
          <w:color w:val="auto"/>
          <w:sz w:val="24"/>
          <w:szCs w:val="24"/>
        </w:rPr>
        <w:t>Is there a standard “high-water” elevation, for example: 100 year BFE, 12” above 100 year BFE,  500 year BFE, 12” above Cat</w:t>
      </w:r>
      <w:r w:rsidR="001A2F9C">
        <w:rPr>
          <w:rFonts w:ascii="Times New Roman" w:hAnsi="Times New Roman" w:cs="Times New Roman"/>
          <w:color w:val="auto"/>
          <w:sz w:val="24"/>
          <w:szCs w:val="24"/>
        </w:rPr>
        <w:t>egory</w:t>
      </w:r>
      <w:r w:rsidRPr="007B219E">
        <w:rPr>
          <w:rFonts w:ascii="Times New Roman" w:hAnsi="Times New Roman" w:cs="Times New Roman"/>
          <w:color w:val="auto"/>
          <w:sz w:val="24"/>
          <w:szCs w:val="24"/>
        </w:rPr>
        <w:t xml:space="preserve"> 5 Storm Surge, 2’ above the 1% FEMA level, 13’ above sea level.</w:t>
      </w:r>
    </w:p>
    <w:p w14:paraId="01213893" w14:textId="77777777" w:rsidR="00DB6211" w:rsidRDefault="00DB6211" w:rsidP="00DB6211">
      <w:pPr>
        <w:ind w:left="720" w:firstLine="0"/>
      </w:pPr>
    </w:p>
    <w:p w14:paraId="7283FD98" w14:textId="77777777" w:rsidR="00DB6211" w:rsidRPr="00DB6211" w:rsidRDefault="00196FD3" w:rsidP="00DB6211">
      <w:pPr>
        <w:ind w:left="720" w:firstLine="0"/>
      </w:pPr>
      <w:r>
        <w:t>The Utilities are not aware of an industry standard.  The Utilities use various sources</w:t>
      </w:r>
      <w:r w:rsidR="002675A5">
        <w:t>, but all consult the FEMA flood plain maps and currently use a minimum of at or one to two feet above the 100 year flood plain.</w:t>
      </w:r>
    </w:p>
    <w:p w14:paraId="4CA4B824" w14:textId="77777777" w:rsidR="00021913" w:rsidRPr="005D7206" w:rsidRDefault="00021913">
      <w:pPr>
        <w:pStyle w:val="Heading1"/>
        <w:ind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Hardening Measures</w:t>
      </w:r>
    </w:p>
    <w:p w14:paraId="66390F1F" w14:textId="77777777" w:rsidR="00021913" w:rsidRDefault="00021913" w:rsidP="005D7206">
      <w:pPr>
        <w:pStyle w:val="Heading2"/>
        <w:ind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 xml:space="preserve">Explain whether any hardening </w:t>
      </w:r>
      <w:r w:rsidR="005D7206" w:rsidRPr="005D7206">
        <w:rPr>
          <w:rFonts w:ascii="Times New Roman" w:hAnsi="Times New Roman" w:cs="Times New Roman"/>
          <w:color w:val="auto"/>
          <w:sz w:val="24"/>
          <w:szCs w:val="24"/>
        </w:rPr>
        <w:t>measures you took</w:t>
      </w:r>
      <w:r w:rsidRPr="005D7206">
        <w:rPr>
          <w:rFonts w:ascii="Times New Roman" w:hAnsi="Times New Roman" w:cs="Times New Roman"/>
          <w:color w:val="auto"/>
          <w:sz w:val="24"/>
          <w:szCs w:val="24"/>
        </w:rPr>
        <w:t xml:space="preserve"> before Hurr</w:t>
      </w:r>
      <w:r w:rsidR="005D7206" w:rsidRPr="005D7206">
        <w:rPr>
          <w:rFonts w:ascii="Times New Roman" w:hAnsi="Times New Roman" w:cs="Times New Roman"/>
          <w:color w:val="auto"/>
          <w:sz w:val="24"/>
          <w:szCs w:val="24"/>
        </w:rPr>
        <w:t>icane Harvey improved the resilience</w:t>
      </w:r>
      <w:r w:rsidRPr="005D7206">
        <w:rPr>
          <w:rFonts w:ascii="Times New Roman" w:hAnsi="Times New Roman" w:cs="Times New Roman"/>
          <w:color w:val="auto"/>
          <w:sz w:val="24"/>
          <w:szCs w:val="24"/>
        </w:rPr>
        <w:t xml:space="preserve"> </w:t>
      </w:r>
      <w:r w:rsidR="005D7206" w:rsidRPr="005D7206">
        <w:rPr>
          <w:rFonts w:ascii="Times New Roman" w:hAnsi="Times New Roman" w:cs="Times New Roman"/>
          <w:color w:val="auto"/>
          <w:sz w:val="24"/>
          <w:szCs w:val="24"/>
        </w:rPr>
        <w:t xml:space="preserve">of your facilities </w:t>
      </w:r>
      <w:r w:rsidRPr="005D7206">
        <w:rPr>
          <w:rFonts w:ascii="Times New Roman" w:hAnsi="Times New Roman" w:cs="Times New Roman"/>
          <w:color w:val="auto"/>
          <w:sz w:val="24"/>
          <w:szCs w:val="24"/>
        </w:rPr>
        <w:t>to Hurricane Harvey.  If they did, describe the hardening measures and what caused you to implement them.</w:t>
      </w:r>
    </w:p>
    <w:p w14:paraId="3606147E" w14:textId="77777777" w:rsidR="00D735EF" w:rsidRDefault="00D735EF" w:rsidP="00555CF1">
      <w:pPr>
        <w:ind w:left="720" w:firstLine="0"/>
      </w:pPr>
    </w:p>
    <w:p w14:paraId="224D05C2" w14:textId="77777777" w:rsidR="00076B18" w:rsidRPr="00D735EF" w:rsidRDefault="00D735EF" w:rsidP="00555CF1">
      <w:pPr>
        <w:ind w:left="720" w:firstLine="0"/>
      </w:pPr>
      <w:r w:rsidRPr="00D735EF">
        <w:t>The Utilities in Texas have been implementing storm hardening strategies for decades</w:t>
      </w:r>
      <w:r w:rsidR="008909D0">
        <w:t>.</w:t>
      </w:r>
      <w:r w:rsidRPr="00D735EF">
        <w:t xml:space="preserve"> </w:t>
      </w:r>
      <w:r w:rsidR="008909D0">
        <w:t xml:space="preserve"> E</w:t>
      </w:r>
      <w:r w:rsidRPr="00D735EF">
        <w:t>ach storm provides the opportunities for improvements on how we prepare and respond to future storms.  These storm hardening strategies have certainly improved the resiliency of the utility grid.  Please refer to the Attachment for details of each utility response.</w:t>
      </w:r>
    </w:p>
    <w:p w14:paraId="7FE2B119" w14:textId="77777777" w:rsidR="00021913" w:rsidRDefault="00021913" w:rsidP="005D7206">
      <w:pPr>
        <w:pStyle w:val="Heading2"/>
        <w:ind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Describe the steps that you have taken or plan to take in response to wind damage from Hurricane Harvey, in order to reduce the risk of wind damage to your facilities in the future.</w:t>
      </w:r>
    </w:p>
    <w:p w14:paraId="36B1132E" w14:textId="77777777" w:rsidR="00C713E4" w:rsidRDefault="00C713E4" w:rsidP="0024392D">
      <w:pPr>
        <w:ind w:firstLine="720"/>
        <w:rPr>
          <w:b/>
          <w:u w:val="single"/>
        </w:rPr>
      </w:pPr>
    </w:p>
    <w:p w14:paraId="4239925E" w14:textId="353A7A82" w:rsidR="00D735EF" w:rsidRDefault="00D735EF" w:rsidP="003A14F7">
      <w:pPr>
        <w:ind w:left="720" w:firstLine="0"/>
      </w:pPr>
      <w:r w:rsidRPr="003A14F7">
        <w:t xml:space="preserve">Harvey was not a </w:t>
      </w:r>
      <w:r w:rsidR="003A14F7">
        <w:t>significant</w:t>
      </w:r>
      <w:r w:rsidRPr="003A14F7">
        <w:t xml:space="preserve"> wind event for ETI, TNMP, CNP, </w:t>
      </w:r>
      <w:r w:rsidR="00193D94">
        <w:t>LCRA TSC</w:t>
      </w:r>
      <w:r w:rsidRPr="003A14F7">
        <w:t xml:space="preserve"> or Sharyland</w:t>
      </w:r>
      <w:r w:rsidR="008909D0">
        <w:t>;</w:t>
      </w:r>
      <w:r w:rsidRPr="003A14F7">
        <w:t xml:space="preserve"> as such </w:t>
      </w:r>
      <w:r w:rsidR="003A14F7" w:rsidRPr="003A14F7">
        <w:t>they will continue with implementing their current storm hardening strategies as it relates to wind mitigation.</w:t>
      </w:r>
    </w:p>
    <w:p w14:paraId="35B10501" w14:textId="09556CFD" w:rsidR="003A14F7" w:rsidRPr="003A14F7" w:rsidRDefault="003A14F7" w:rsidP="003A14F7">
      <w:pPr>
        <w:ind w:left="720" w:firstLine="0"/>
      </w:pPr>
      <w:r>
        <w:t xml:space="preserve">Harvey was a significant wind event for </w:t>
      </w:r>
      <w:r w:rsidR="008909D0">
        <w:t>AEP;</w:t>
      </w:r>
      <w:r>
        <w:t xml:space="preserve"> as such AEP has taken steps to increase resilience and to promote effective and efficient restoration.</w:t>
      </w:r>
      <w:r w:rsidR="000D4FDC">
        <w:t xml:space="preserve">  For example, new or replacement facilities will be planned and constructed in alignment with the Company’s current design standards which incorporate lessons learned from extreme weather events such as Hurricane Harvey.</w:t>
      </w:r>
      <w:r w:rsidR="00DF7EF2">
        <w:t xml:space="preserve">  For additional information, please refer to the Utility Responses attachment.</w:t>
      </w:r>
    </w:p>
    <w:p w14:paraId="6319BD92" w14:textId="77777777" w:rsidR="00956367" w:rsidRDefault="00E52C60" w:rsidP="005D7206">
      <w:pPr>
        <w:pStyle w:val="Heading1"/>
        <w:ind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 xml:space="preserve">Explain whether you </w:t>
      </w:r>
      <w:r w:rsidR="00956367" w:rsidRPr="005D7206">
        <w:rPr>
          <w:rFonts w:ascii="Times New Roman" w:hAnsi="Times New Roman" w:cs="Times New Roman"/>
          <w:color w:val="auto"/>
          <w:sz w:val="24"/>
          <w:szCs w:val="24"/>
        </w:rPr>
        <w:t>purchase facilities and materials (e.g. poles) in preparation for hurricane season.</w:t>
      </w:r>
    </w:p>
    <w:p w14:paraId="6D8A6B72" w14:textId="77777777" w:rsidR="005A1EFC" w:rsidRDefault="005A1EFC" w:rsidP="009D03A3">
      <w:pPr>
        <w:ind w:firstLine="0"/>
      </w:pPr>
    </w:p>
    <w:p w14:paraId="7248D358" w14:textId="4C903B76" w:rsidR="003A14F7" w:rsidRDefault="000874E3" w:rsidP="009D03A3">
      <w:pPr>
        <w:ind w:firstLine="0"/>
      </w:pPr>
      <w:r>
        <w:t>The Utilities in Texas maintain supplies in anticipation of storms.  As a particular hurricane approaches</w:t>
      </w:r>
      <w:r w:rsidR="009B13F5">
        <w:t>,</w:t>
      </w:r>
      <w:r>
        <w:t xml:space="preserve"> materials may be moved in anticipation of where the damage is expected.  Most of the distribution line material supply is handled by individual utilities, some of which can rely on other companies within the same corporation.  The Utilities are also in contact with vendors where there are contracts in place for emergency response and expedited availability.  For larger equipment, each utility has its own inventory of spares which can be shared as part of the mutual assistance groups.</w:t>
      </w:r>
      <w:r w:rsidR="00701E06">
        <w:t xml:space="preserve">  The Utilities have damage prediction models, based on past experience, that can predict the damages based on the forecasted track.  If necessary, the utility can place additional equipment orders ahead of the storm.</w:t>
      </w:r>
      <w:r>
        <w:t xml:space="preserve"> </w:t>
      </w:r>
    </w:p>
    <w:sectPr w:rsidR="003A14F7">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E52DA" w14:textId="77777777" w:rsidR="00D020D4" w:rsidRDefault="00D020D4" w:rsidP="00956367">
      <w:pPr>
        <w:spacing w:after="0" w:line="240" w:lineRule="auto"/>
      </w:pPr>
      <w:r>
        <w:separator/>
      </w:r>
    </w:p>
  </w:endnote>
  <w:endnote w:type="continuationSeparator" w:id="0">
    <w:p w14:paraId="4529592C" w14:textId="77777777" w:rsidR="00D020D4" w:rsidRDefault="00D020D4" w:rsidP="00956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4B182" w14:textId="4476269C" w:rsidR="00956367" w:rsidRDefault="00956367" w:rsidP="00956367">
    <w:pPr>
      <w:pStyle w:val="Footer"/>
    </w:pPr>
    <w:r>
      <w:t>Public Utility Commission of Texas Project No. 47552</w:t>
    </w:r>
    <w:r>
      <w:tab/>
    </w:r>
    <w:r>
      <w:tab/>
      <w:t xml:space="preserve">Page </w:t>
    </w:r>
    <w:r>
      <w:fldChar w:fldCharType="begin"/>
    </w:r>
    <w:r>
      <w:instrText xml:space="preserve"> PAGE   \* MERGEFORMAT </w:instrText>
    </w:r>
    <w:r>
      <w:fldChar w:fldCharType="separate"/>
    </w:r>
    <w:r w:rsidR="00A35341">
      <w:rPr>
        <w:noProof/>
      </w:rPr>
      <w:t>1</w:t>
    </w:r>
    <w:r>
      <w:rPr>
        <w:noProof/>
      </w:rPr>
      <w:fldChar w:fldCharType="end"/>
    </w:r>
  </w:p>
  <w:p w14:paraId="5DF539C7" w14:textId="292A2F05" w:rsidR="00173BA4" w:rsidRDefault="00956367" w:rsidP="00173BA4">
    <w:pPr>
      <w:pStyle w:val="Footer"/>
    </w:pPr>
    <w:r>
      <w:t xml:space="preserve">Dated:  </w:t>
    </w:r>
    <w:r w:rsidR="00F40B0F">
      <w:t xml:space="preserve">07/12/2018; updated 07/26/18, 08/14/18, &amp; </w:t>
    </w:r>
    <w:r w:rsidR="00173BA4">
      <w:t>08/29/18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0897B" w14:textId="77777777" w:rsidR="00D020D4" w:rsidRDefault="00D020D4" w:rsidP="00956367">
      <w:pPr>
        <w:spacing w:after="0" w:line="240" w:lineRule="auto"/>
      </w:pPr>
      <w:r>
        <w:separator/>
      </w:r>
    </w:p>
  </w:footnote>
  <w:footnote w:type="continuationSeparator" w:id="0">
    <w:p w14:paraId="26909C39" w14:textId="77777777" w:rsidR="00D020D4" w:rsidRDefault="00D020D4" w:rsidP="009563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81DF0"/>
    <w:multiLevelType w:val="hybridMultilevel"/>
    <w:tmpl w:val="90381656"/>
    <w:lvl w:ilvl="0" w:tplc="273CA126">
      <w:start w:val="1"/>
      <w:numFmt w:val="bullet"/>
      <w:lvlText w:val="•"/>
      <w:lvlJc w:val="left"/>
      <w:pPr>
        <w:tabs>
          <w:tab w:val="num" w:pos="720"/>
        </w:tabs>
        <w:ind w:left="720" w:hanging="360"/>
      </w:pPr>
      <w:rPr>
        <w:rFonts w:ascii="Arial" w:hAnsi="Arial" w:hint="default"/>
      </w:rPr>
    </w:lvl>
    <w:lvl w:ilvl="1" w:tplc="CA662564" w:tentative="1">
      <w:start w:val="1"/>
      <w:numFmt w:val="bullet"/>
      <w:lvlText w:val="•"/>
      <w:lvlJc w:val="left"/>
      <w:pPr>
        <w:tabs>
          <w:tab w:val="num" w:pos="1440"/>
        </w:tabs>
        <w:ind w:left="1440" w:hanging="360"/>
      </w:pPr>
      <w:rPr>
        <w:rFonts w:ascii="Arial" w:hAnsi="Arial" w:hint="default"/>
      </w:rPr>
    </w:lvl>
    <w:lvl w:ilvl="2" w:tplc="BA4445FA" w:tentative="1">
      <w:start w:val="1"/>
      <w:numFmt w:val="bullet"/>
      <w:lvlText w:val="•"/>
      <w:lvlJc w:val="left"/>
      <w:pPr>
        <w:tabs>
          <w:tab w:val="num" w:pos="2160"/>
        </w:tabs>
        <w:ind w:left="2160" w:hanging="360"/>
      </w:pPr>
      <w:rPr>
        <w:rFonts w:ascii="Arial" w:hAnsi="Arial" w:hint="default"/>
      </w:rPr>
    </w:lvl>
    <w:lvl w:ilvl="3" w:tplc="177C5D1A" w:tentative="1">
      <w:start w:val="1"/>
      <w:numFmt w:val="bullet"/>
      <w:lvlText w:val="•"/>
      <w:lvlJc w:val="left"/>
      <w:pPr>
        <w:tabs>
          <w:tab w:val="num" w:pos="2880"/>
        </w:tabs>
        <w:ind w:left="2880" w:hanging="360"/>
      </w:pPr>
      <w:rPr>
        <w:rFonts w:ascii="Arial" w:hAnsi="Arial" w:hint="default"/>
      </w:rPr>
    </w:lvl>
    <w:lvl w:ilvl="4" w:tplc="1994C704" w:tentative="1">
      <w:start w:val="1"/>
      <w:numFmt w:val="bullet"/>
      <w:lvlText w:val="•"/>
      <w:lvlJc w:val="left"/>
      <w:pPr>
        <w:tabs>
          <w:tab w:val="num" w:pos="3600"/>
        </w:tabs>
        <w:ind w:left="3600" w:hanging="360"/>
      </w:pPr>
      <w:rPr>
        <w:rFonts w:ascii="Arial" w:hAnsi="Arial" w:hint="default"/>
      </w:rPr>
    </w:lvl>
    <w:lvl w:ilvl="5" w:tplc="9AF0998A" w:tentative="1">
      <w:start w:val="1"/>
      <w:numFmt w:val="bullet"/>
      <w:lvlText w:val="•"/>
      <w:lvlJc w:val="left"/>
      <w:pPr>
        <w:tabs>
          <w:tab w:val="num" w:pos="4320"/>
        </w:tabs>
        <w:ind w:left="4320" w:hanging="360"/>
      </w:pPr>
      <w:rPr>
        <w:rFonts w:ascii="Arial" w:hAnsi="Arial" w:hint="default"/>
      </w:rPr>
    </w:lvl>
    <w:lvl w:ilvl="6" w:tplc="D5CEBB6A" w:tentative="1">
      <w:start w:val="1"/>
      <w:numFmt w:val="bullet"/>
      <w:lvlText w:val="•"/>
      <w:lvlJc w:val="left"/>
      <w:pPr>
        <w:tabs>
          <w:tab w:val="num" w:pos="5040"/>
        </w:tabs>
        <w:ind w:left="5040" w:hanging="360"/>
      </w:pPr>
      <w:rPr>
        <w:rFonts w:ascii="Arial" w:hAnsi="Arial" w:hint="default"/>
      </w:rPr>
    </w:lvl>
    <w:lvl w:ilvl="7" w:tplc="5C7C7E4C" w:tentative="1">
      <w:start w:val="1"/>
      <w:numFmt w:val="bullet"/>
      <w:lvlText w:val="•"/>
      <w:lvlJc w:val="left"/>
      <w:pPr>
        <w:tabs>
          <w:tab w:val="num" w:pos="5760"/>
        </w:tabs>
        <w:ind w:left="5760" w:hanging="360"/>
      </w:pPr>
      <w:rPr>
        <w:rFonts w:ascii="Arial" w:hAnsi="Arial" w:hint="default"/>
      </w:rPr>
    </w:lvl>
    <w:lvl w:ilvl="8" w:tplc="9D0436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01972"/>
    <w:multiLevelType w:val="hybridMultilevel"/>
    <w:tmpl w:val="E5405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D05B4"/>
    <w:multiLevelType w:val="hybridMultilevel"/>
    <w:tmpl w:val="E430B4D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63534C9"/>
    <w:multiLevelType w:val="hybridMultilevel"/>
    <w:tmpl w:val="790E9D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A8634AC"/>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5" w15:restartNumberingAfterBreak="0">
    <w:nsid w:val="1DDA7C56"/>
    <w:multiLevelType w:val="hybridMultilevel"/>
    <w:tmpl w:val="BA2A576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6360DAB"/>
    <w:multiLevelType w:val="hybridMultilevel"/>
    <w:tmpl w:val="1B167638"/>
    <w:lvl w:ilvl="0" w:tplc="AD3A2954">
      <w:start w:val="1"/>
      <w:numFmt w:val="bullet"/>
      <w:lvlText w:val="•"/>
      <w:lvlJc w:val="left"/>
      <w:pPr>
        <w:tabs>
          <w:tab w:val="num" w:pos="720"/>
        </w:tabs>
        <w:ind w:left="720" w:hanging="360"/>
      </w:pPr>
      <w:rPr>
        <w:rFonts w:ascii="Arial" w:hAnsi="Arial" w:hint="default"/>
      </w:rPr>
    </w:lvl>
    <w:lvl w:ilvl="1" w:tplc="D20E14CA">
      <w:start w:val="3726"/>
      <w:numFmt w:val="bullet"/>
      <w:lvlText w:val="•"/>
      <w:lvlJc w:val="left"/>
      <w:pPr>
        <w:tabs>
          <w:tab w:val="num" w:pos="1440"/>
        </w:tabs>
        <w:ind w:left="1440" w:hanging="360"/>
      </w:pPr>
      <w:rPr>
        <w:rFonts w:ascii="Arial" w:hAnsi="Arial" w:hint="default"/>
      </w:rPr>
    </w:lvl>
    <w:lvl w:ilvl="2" w:tplc="D2A48D44" w:tentative="1">
      <w:start w:val="1"/>
      <w:numFmt w:val="bullet"/>
      <w:lvlText w:val="•"/>
      <w:lvlJc w:val="left"/>
      <w:pPr>
        <w:tabs>
          <w:tab w:val="num" w:pos="2160"/>
        </w:tabs>
        <w:ind w:left="2160" w:hanging="360"/>
      </w:pPr>
      <w:rPr>
        <w:rFonts w:ascii="Arial" w:hAnsi="Arial" w:hint="default"/>
      </w:rPr>
    </w:lvl>
    <w:lvl w:ilvl="3" w:tplc="FEB40A28" w:tentative="1">
      <w:start w:val="1"/>
      <w:numFmt w:val="bullet"/>
      <w:lvlText w:val="•"/>
      <w:lvlJc w:val="left"/>
      <w:pPr>
        <w:tabs>
          <w:tab w:val="num" w:pos="2880"/>
        </w:tabs>
        <w:ind w:left="2880" w:hanging="360"/>
      </w:pPr>
      <w:rPr>
        <w:rFonts w:ascii="Arial" w:hAnsi="Arial" w:hint="default"/>
      </w:rPr>
    </w:lvl>
    <w:lvl w:ilvl="4" w:tplc="181A241C" w:tentative="1">
      <w:start w:val="1"/>
      <w:numFmt w:val="bullet"/>
      <w:lvlText w:val="•"/>
      <w:lvlJc w:val="left"/>
      <w:pPr>
        <w:tabs>
          <w:tab w:val="num" w:pos="3600"/>
        </w:tabs>
        <w:ind w:left="3600" w:hanging="360"/>
      </w:pPr>
      <w:rPr>
        <w:rFonts w:ascii="Arial" w:hAnsi="Arial" w:hint="default"/>
      </w:rPr>
    </w:lvl>
    <w:lvl w:ilvl="5" w:tplc="C5E6946A" w:tentative="1">
      <w:start w:val="1"/>
      <w:numFmt w:val="bullet"/>
      <w:lvlText w:val="•"/>
      <w:lvlJc w:val="left"/>
      <w:pPr>
        <w:tabs>
          <w:tab w:val="num" w:pos="4320"/>
        </w:tabs>
        <w:ind w:left="4320" w:hanging="360"/>
      </w:pPr>
      <w:rPr>
        <w:rFonts w:ascii="Arial" w:hAnsi="Arial" w:hint="default"/>
      </w:rPr>
    </w:lvl>
    <w:lvl w:ilvl="6" w:tplc="0EC4DA04" w:tentative="1">
      <w:start w:val="1"/>
      <w:numFmt w:val="bullet"/>
      <w:lvlText w:val="•"/>
      <w:lvlJc w:val="left"/>
      <w:pPr>
        <w:tabs>
          <w:tab w:val="num" w:pos="5040"/>
        </w:tabs>
        <w:ind w:left="5040" w:hanging="360"/>
      </w:pPr>
      <w:rPr>
        <w:rFonts w:ascii="Arial" w:hAnsi="Arial" w:hint="default"/>
      </w:rPr>
    </w:lvl>
    <w:lvl w:ilvl="7" w:tplc="5B788C94" w:tentative="1">
      <w:start w:val="1"/>
      <w:numFmt w:val="bullet"/>
      <w:lvlText w:val="•"/>
      <w:lvlJc w:val="left"/>
      <w:pPr>
        <w:tabs>
          <w:tab w:val="num" w:pos="5760"/>
        </w:tabs>
        <w:ind w:left="5760" w:hanging="360"/>
      </w:pPr>
      <w:rPr>
        <w:rFonts w:ascii="Arial" w:hAnsi="Arial" w:hint="default"/>
      </w:rPr>
    </w:lvl>
    <w:lvl w:ilvl="8" w:tplc="73BA0A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D43E6D"/>
    <w:multiLevelType w:val="hybridMultilevel"/>
    <w:tmpl w:val="C89220F0"/>
    <w:lvl w:ilvl="0" w:tplc="F94ECD9A">
      <w:start w:val="1"/>
      <w:numFmt w:val="bullet"/>
      <w:lvlText w:val="•"/>
      <w:lvlJc w:val="left"/>
      <w:pPr>
        <w:tabs>
          <w:tab w:val="num" w:pos="720"/>
        </w:tabs>
        <w:ind w:left="720" w:hanging="360"/>
      </w:pPr>
      <w:rPr>
        <w:rFonts w:ascii="Arial" w:hAnsi="Arial" w:hint="default"/>
        <w:color w:val="0070C0"/>
      </w:rPr>
    </w:lvl>
    <w:lvl w:ilvl="1" w:tplc="FEF6EDAE" w:tentative="1">
      <w:start w:val="1"/>
      <w:numFmt w:val="bullet"/>
      <w:lvlText w:val="•"/>
      <w:lvlJc w:val="left"/>
      <w:pPr>
        <w:tabs>
          <w:tab w:val="num" w:pos="1440"/>
        </w:tabs>
        <w:ind w:left="1440" w:hanging="360"/>
      </w:pPr>
      <w:rPr>
        <w:rFonts w:ascii="Arial" w:hAnsi="Arial" w:hint="default"/>
      </w:rPr>
    </w:lvl>
    <w:lvl w:ilvl="2" w:tplc="B038D76A" w:tentative="1">
      <w:start w:val="1"/>
      <w:numFmt w:val="bullet"/>
      <w:lvlText w:val="•"/>
      <w:lvlJc w:val="left"/>
      <w:pPr>
        <w:tabs>
          <w:tab w:val="num" w:pos="2160"/>
        </w:tabs>
        <w:ind w:left="2160" w:hanging="360"/>
      </w:pPr>
      <w:rPr>
        <w:rFonts w:ascii="Arial" w:hAnsi="Arial" w:hint="default"/>
      </w:rPr>
    </w:lvl>
    <w:lvl w:ilvl="3" w:tplc="BA584A9E" w:tentative="1">
      <w:start w:val="1"/>
      <w:numFmt w:val="bullet"/>
      <w:lvlText w:val="•"/>
      <w:lvlJc w:val="left"/>
      <w:pPr>
        <w:tabs>
          <w:tab w:val="num" w:pos="2880"/>
        </w:tabs>
        <w:ind w:left="2880" w:hanging="360"/>
      </w:pPr>
      <w:rPr>
        <w:rFonts w:ascii="Arial" w:hAnsi="Arial" w:hint="default"/>
      </w:rPr>
    </w:lvl>
    <w:lvl w:ilvl="4" w:tplc="07F48B62" w:tentative="1">
      <w:start w:val="1"/>
      <w:numFmt w:val="bullet"/>
      <w:lvlText w:val="•"/>
      <w:lvlJc w:val="left"/>
      <w:pPr>
        <w:tabs>
          <w:tab w:val="num" w:pos="3600"/>
        </w:tabs>
        <w:ind w:left="3600" w:hanging="360"/>
      </w:pPr>
      <w:rPr>
        <w:rFonts w:ascii="Arial" w:hAnsi="Arial" w:hint="default"/>
      </w:rPr>
    </w:lvl>
    <w:lvl w:ilvl="5" w:tplc="BB009A52" w:tentative="1">
      <w:start w:val="1"/>
      <w:numFmt w:val="bullet"/>
      <w:lvlText w:val="•"/>
      <w:lvlJc w:val="left"/>
      <w:pPr>
        <w:tabs>
          <w:tab w:val="num" w:pos="4320"/>
        </w:tabs>
        <w:ind w:left="4320" w:hanging="360"/>
      </w:pPr>
      <w:rPr>
        <w:rFonts w:ascii="Arial" w:hAnsi="Arial" w:hint="default"/>
      </w:rPr>
    </w:lvl>
    <w:lvl w:ilvl="6" w:tplc="E578BD26" w:tentative="1">
      <w:start w:val="1"/>
      <w:numFmt w:val="bullet"/>
      <w:lvlText w:val="•"/>
      <w:lvlJc w:val="left"/>
      <w:pPr>
        <w:tabs>
          <w:tab w:val="num" w:pos="5040"/>
        </w:tabs>
        <w:ind w:left="5040" w:hanging="360"/>
      </w:pPr>
      <w:rPr>
        <w:rFonts w:ascii="Arial" w:hAnsi="Arial" w:hint="default"/>
      </w:rPr>
    </w:lvl>
    <w:lvl w:ilvl="7" w:tplc="D07243D8" w:tentative="1">
      <w:start w:val="1"/>
      <w:numFmt w:val="bullet"/>
      <w:lvlText w:val="•"/>
      <w:lvlJc w:val="left"/>
      <w:pPr>
        <w:tabs>
          <w:tab w:val="num" w:pos="5760"/>
        </w:tabs>
        <w:ind w:left="5760" w:hanging="360"/>
      </w:pPr>
      <w:rPr>
        <w:rFonts w:ascii="Arial" w:hAnsi="Arial" w:hint="default"/>
      </w:rPr>
    </w:lvl>
    <w:lvl w:ilvl="8" w:tplc="37FAE7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7252BD"/>
    <w:multiLevelType w:val="hybridMultilevel"/>
    <w:tmpl w:val="56C06790"/>
    <w:lvl w:ilvl="0" w:tplc="3E5A4D2A">
      <w:start w:val="1"/>
      <w:numFmt w:val="upperRoman"/>
      <w:lvlText w:val="%1."/>
      <w:lvlJc w:val="left"/>
      <w:pPr>
        <w:ind w:left="1440" w:hanging="720"/>
      </w:pPr>
      <w:rPr>
        <w:rFonts w:cs="Times New Roman"/>
      </w:rPr>
    </w:lvl>
    <w:lvl w:ilvl="1" w:tplc="2DF6904E">
      <w:start w:val="1"/>
      <w:numFmt w:val="lowerLetter"/>
      <w:lvlText w:val="%2."/>
      <w:lvlJc w:val="left"/>
      <w:pPr>
        <w:ind w:left="1800" w:hanging="360"/>
      </w:pPr>
      <w:rPr>
        <w:rFonts w:cs="Times New Roman"/>
        <w:color w:val="auto"/>
      </w:rPr>
    </w:lvl>
    <w:lvl w:ilvl="2" w:tplc="282EF10A">
      <w:start w:val="1"/>
      <w:numFmt w:val="upperLetter"/>
      <w:lvlText w:val="%3."/>
      <w:lvlJc w:val="right"/>
      <w:pPr>
        <w:ind w:left="2520" w:hanging="180"/>
      </w:pPr>
      <w:rPr>
        <w:rFonts w:ascii="Times New Roman" w:eastAsia="Times New Roman" w:hAnsi="Times New Roman"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15:restartNumberingAfterBreak="0">
    <w:nsid w:val="30DC1A91"/>
    <w:multiLevelType w:val="hybridMultilevel"/>
    <w:tmpl w:val="A80C6470"/>
    <w:lvl w:ilvl="0" w:tplc="71E6E100">
      <w:start w:val="1"/>
      <w:numFmt w:val="bullet"/>
      <w:lvlText w:val="•"/>
      <w:lvlJc w:val="left"/>
      <w:pPr>
        <w:tabs>
          <w:tab w:val="num" w:pos="720"/>
        </w:tabs>
        <w:ind w:left="720" w:hanging="360"/>
      </w:pPr>
      <w:rPr>
        <w:rFonts w:ascii="Arial" w:hAnsi="Arial" w:hint="default"/>
      </w:rPr>
    </w:lvl>
    <w:lvl w:ilvl="1" w:tplc="80049348">
      <w:start w:val="1"/>
      <w:numFmt w:val="bullet"/>
      <w:lvlText w:val="•"/>
      <w:lvlJc w:val="left"/>
      <w:pPr>
        <w:tabs>
          <w:tab w:val="num" w:pos="1440"/>
        </w:tabs>
        <w:ind w:left="1440" w:hanging="360"/>
      </w:pPr>
      <w:rPr>
        <w:rFonts w:ascii="Arial" w:hAnsi="Arial" w:hint="default"/>
      </w:rPr>
    </w:lvl>
    <w:lvl w:ilvl="2" w:tplc="B8BA574A" w:tentative="1">
      <w:start w:val="1"/>
      <w:numFmt w:val="bullet"/>
      <w:lvlText w:val="•"/>
      <w:lvlJc w:val="left"/>
      <w:pPr>
        <w:tabs>
          <w:tab w:val="num" w:pos="2160"/>
        </w:tabs>
        <w:ind w:left="2160" w:hanging="360"/>
      </w:pPr>
      <w:rPr>
        <w:rFonts w:ascii="Arial" w:hAnsi="Arial" w:hint="default"/>
      </w:rPr>
    </w:lvl>
    <w:lvl w:ilvl="3" w:tplc="0930B6E8" w:tentative="1">
      <w:start w:val="1"/>
      <w:numFmt w:val="bullet"/>
      <w:lvlText w:val="•"/>
      <w:lvlJc w:val="left"/>
      <w:pPr>
        <w:tabs>
          <w:tab w:val="num" w:pos="2880"/>
        </w:tabs>
        <w:ind w:left="2880" w:hanging="360"/>
      </w:pPr>
      <w:rPr>
        <w:rFonts w:ascii="Arial" w:hAnsi="Arial" w:hint="default"/>
      </w:rPr>
    </w:lvl>
    <w:lvl w:ilvl="4" w:tplc="8D546C20" w:tentative="1">
      <w:start w:val="1"/>
      <w:numFmt w:val="bullet"/>
      <w:lvlText w:val="•"/>
      <w:lvlJc w:val="left"/>
      <w:pPr>
        <w:tabs>
          <w:tab w:val="num" w:pos="3600"/>
        </w:tabs>
        <w:ind w:left="3600" w:hanging="360"/>
      </w:pPr>
      <w:rPr>
        <w:rFonts w:ascii="Arial" w:hAnsi="Arial" w:hint="default"/>
      </w:rPr>
    </w:lvl>
    <w:lvl w:ilvl="5" w:tplc="9E3AA5F6" w:tentative="1">
      <w:start w:val="1"/>
      <w:numFmt w:val="bullet"/>
      <w:lvlText w:val="•"/>
      <w:lvlJc w:val="left"/>
      <w:pPr>
        <w:tabs>
          <w:tab w:val="num" w:pos="4320"/>
        </w:tabs>
        <w:ind w:left="4320" w:hanging="360"/>
      </w:pPr>
      <w:rPr>
        <w:rFonts w:ascii="Arial" w:hAnsi="Arial" w:hint="default"/>
      </w:rPr>
    </w:lvl>
    <w:lvl w:ilvl="6" w:tplc="6414C4D6" w:tentative="1">
      <w:start w:val="1"/>
      <w:numFmt w:val="bullet"/>
      <w:lvlText w:val="•"/>
      <w:lvlJc w:val="left"/>
      <w:pPr>
        <w:tabs>
          <w:tab w:val="num" w:pos="5040"/>
        </w:tabs>
        <w:ind w:left="5040" w:hanging="360"/>
      </w:pPr>
      <w:rPr>
        <w:rFonts w:ascii="Arial" w:hAnsi="Arial" w:hint="default"/>
      </w:rPr>
    </w:lvl>
    <w:lvl w:ilvl="7" w:tplc="E8B8A1B8" w:tentative="1">
      <w:start w:val="1"/>
      <w:numFmt w:val="bullet"/>
      <w:lvlText w:val="•"/>
      <w:lvlJc w:val="left"/>
      <w:pPr>
        <w:tabs>
          <w:tab w:val="num" w:pos="5760"/>
        </w:tabs>
        <w:ind w:left="5760" w:hanging="360"/>
      </w:pPr>
      <w:rPr>
        <w:rFonts w:ascii="Arial" w:hAnsi="Arial" w:hint="default"/>
      </w:rPr>
    </w:lvl>
    <w:lvl w:ilvl="8" w:tplc="B9CEB0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845FB6"/>
    <w:multiLevelType w:val="hybridMultilevel"/>
    <w:tmpl w:val="1F324C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DC86776"/>
    <w:multiLevelType w:val="hybridMultilevel"/>
    <w:tmpl w:val="F0DCD1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A15ED0"/>
    <w:multiLevelType w:val="hybridMultilevel"/>
    <w:tmpl w:val="3A38DBC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5037273B"/>
    <w:multiLevelType w:val="hybridMultilevel"/>
    <w:tmpl w:val="3B28C0C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2F7046E"/>
    <w:multiLevelType w:val="hybridMultilevel"/>
    <w:tmpl w:val="63BA5154"/>
    <w:lvl w:ilvl="0" w:tplc="8B9EB69A">
      <w:start w:val="1"/>
      <w:numFmt w:val="bullet"/>
      <w:lvlText w:val="•"/>
      <w:lvlJc w:val="left"/>
      <w:pPr>
        <w:tabs>
          <w:tab w:val="num" w:pos="720"/>
        </w:tabs>
        <w:ind w:left="720" w:hanging="360"/>
      </w:pPr>
      <w:rPr>
        <w:rFonts w:ascii="Arial" w:hAnsi="Arial" w:hint="default"/>
      </w:rPr>
    </w:lvl>
    <w:lvl w:ilvl="1" w:tplc="C21C4B8A" w:tentative="1">
      <w:start w:val="1"/>
      <w:numFmt w:val="bullet"/>
      <w:lvlText w:val="•"/>
      <w:lvlJc w:val="left"/>
      <w:pPr>
        <w:tabs>
          <w:tab w:val="num" w:pos="1440"/>
        </w:tabs>
        <w:ind w:left="1440" w:hanging="360"/>
      </w:pPr>
      <w:rPr>
        <w:rFonts w:ascii="Arial" w:hAnsi="Arial" w:hint="default"/>
      </w:rPr>
    </w:lvl>
    <w:lvl w:ilvl="2" w:tplc="80E2F97A" w:tentative="1">
      <w:start w:val="1"/>
      <w:numFmt w:val="bullet"/>
      <w:lvlText w:val="•"/>
      <w:lvlJc w:val="left"/>
      <w:pPr>
        <w:tabs>
          <w:tab w:val="num" w:pos="2160"/>
        </w:tabs>
        <w:ind w:left="2160" w:hanging="360"/>
      </w:pPr>
      <w:rPr>
        <w:rFonts w:ascii="Arial" w:hAnsi="Arial" w:hint="default"/>
      </w:rPr>
    </w:lvl>
    <w:lvl w:ilvl="3" w:tplc="7FB6EC4A" w:tentative="1">
      <w:start w:val="1"/>
      <w:numFmt w:val="bullet"/>
      <w:lvlText w:val="•"/>
      <w:lvlJc w:val="left"/>
      <w:pPr>
        <w:tabs>
          <w:tab w:val="num" w:pos="2880"/>
        </w:tabs>
        <w:ind w:left="2880" w:hanging="360"/>
      </w:pPr>
      <w:rPr>
        <w:rFonts w:ascii="Arial" w:hAnsi="Arial" w:hint="default"/>
      </w:rPr>
    </w:lvl>
    <w:lvl w:ilvl="4" w:tplc="50707368" w:tentative="1">
      <w:start w:val="1"/>
      <w:numFmt w:val="bullet"/>
      <w:lvlText w:val="•"/>
      <w:lvlJc w:val="left"/>
      <w:pPr>
        <w:tabs>
          <w:tab w:val="num" w:pos="3600"/>
        </w:tabs>
        <w:ind w:left="3600" w:hanging="360"/>
      </w:pPr>
      <w:rPr>
        <w:rFonts w:ascii="Arial" w:hAnsi="Arial" w:hint="default"/>
      </w:rPr>
    </w:lvl>
    <w:lvl w:ilvl="5" w:tplc="F46688D6" w:tentative="1">
      <w:start w:val="1"/>
      <w:numFmt w:val="bullet"/>
      <w:lvlText w:val="•"/>
      <w:lvlJc w:val="left"/>
      <w:pPr>
        <w:tabs>
          <w:tab w:val="num" w:pos="4320"/>
        </w:tabs>
        <w:ind w:left="4320" w:hanging="360"/>
      </w:pPr>
      <w:rPr>
        <w:rFonts w:ascii="Arial" w:hAnsi="Arial" w:hint="default"/>
      </w:rPr>
    </w:lvl>
    <w:lvl w:ilvl="6" w:tplc="0276D2CA" w:tentative="1">
      <w:start w:val="1"/>
      <w:numFmt w:val="bullet"/>
      <w:lvlText w:val="•"/>
      <w:lvlJc w:val="left"/>
      <w:pPr>
        <w:tabs>
          <w:tab w:val="num" w:pos="5040"/>
        </w:tabs>
        <w:ind w:left="5040" w:hanging="360"/>
      </w:pPr>
      <w:rPr>
        <w:rFonts w:ascii="Arial" w:hAnsi="Arial" w:hint="default"/>
      </w:rPr>
    </w:lvl>
    <w:lvl w:ilvl="7" w:tplc="28F4863A" w:tentative="1">
      <w:start w:val="1"/>
      <w:numFmt w:val="bullet"/>
      <w:lvlText w:val="•"/>
      <w:lvlJc w:val="left"/>
      <w:pPr>
        <w:tabs>
          <w:tab w:val="num" w:pos="5760"/>
        </w:tabs>
        <w:ind w:left="5760" w:hanging="360"/>
      </w:pPr>
      <w:rPr>
        <w:rFonts w:ascii="Arial" w:hAnsi="Arial" w:hint="default"/>
      </w:rPr>
    </w:lvl>
    <w:lvl w:ilvl="8" w:tplc="E4BA4D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DC0E33"/>
    <w:multiLevelType w:val="hybridMultilevel"/>
    <w:tmpl w:val="28B4E3A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EF51E92"/>
    <w:multiLevelType w:val="hybridMultilevel"/>
    <w:tmpl w:val="378416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65FB0E87"/>
    <w:multiLevelType w:val="hybridMultilevel"/>
    <w:tmpl w:val="014C268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699E24C1"/>
    <w:multiLevelType w:val="hybridMultilevel"/>
    <w:tmpl w:val="80EC5A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A0D4483"/>
    <w:multiLevelType w:val="hybridMultilevel"/>
    <w:tmpl w:val="0ECE5ECC"/>
    <w:lvl w:ilvl="0" w:tplc="10780FE8">
      <w:start w:val="1"/>
      <w:numFmt w:val="bullet"/>
      <w:lvlText w:val="•"/>
      <w:lvlJc w:val="left"/>
      <w:pPr>
        <w:tabs>
          <w:tab w:val="num" w:pos="720"/>
        </w:tabs>
        <w:ind w:left="720" w:hanging="360"/>
      </w:pPr>
      <w:rPr>
        <w:rFonts w:ascii="Arial" w:hAnsi="Arial" w:hint="default"/>
      </w:rPr>
    </w:lvl>
    <w:lvl w:ilvl="1" w:tplc="B49EC7FC" w:tentative="1">
      <w:start w:val="1"/>
      <w:numFmt w:val="bullet"/>
      <w:lvlText w:val="•"/>
      <w:lvlJc w:val="left"/>
      <w:pPr>
        <w:tabs>
          <w:tab w:val="num" w:pos="1440"/>
        </w:tabs>
        <w:ind w:left="1440" w:hanging="360"/>
      </w:pPr>
      <w:rPr>
        <w:rFonts w:ascii="Arial" w:hAnsi="Arial" w:hint="default"/>
      </w:rPr>
    </w:lvl>
    <w:lvl w:ilvl="2" w:tplc="8F3A3778" w:tentative="1">
      <w:start w:val="1"/>
      <w:numFmt w:val="bullet"/>
      <w:lvlText w:val="•"/>
      <w:lvlJc w:val="left"/>
      <w:pPr>
        <w:tabs>
          <w:tab w:val="num" w:pos="2160"/>
        </w:tabs>
        <w:ind w:left="2160" w:hanging="360"/>
      </w:pPr>
      <w:rPr>
        <w:rFonts w:ascii="Arial" w:hAnsi="Arial" w:hint="default"/>
      </w:rPr>
    </w:lvl>
    <w:lvl w:ilvl="3" w:tplc="69208046" w:tentative="1">
      <w:start w:val="1"/>
      <w:numFmt w:val="bullet"/>
      <w:lvlText w:val="•"/>
      <w:lvlJc w:val="left"/>
      <w:pPr>
        <w:tabs>
          <w:tab w:val="num" w:pos="2880"/>
        </w:tabs>
        <w:ind w:left="2880" w:hanging="360"/>
      </w:pPr>
      <w:rPr>
        <w:rFonts w:ascii="Arial" w:hAnsi="Arial" w:hint="default"/>
      </w:rPr>
    </w:lvl>
    <w:lvl w:ilvl="4" w:tplc="9EE67A64" w:tentative="1">
      <w:start w:val="1"/>
      <w:numFmt w:val="bullet"/>
      <w:lvlText w:val="•"/>
      <w:lvlJc w:val="left"/>
      <w:pPr>
        <w:tabs>
          <w:tab w:val="num" w:pos="3600"/>
        </w:tabs>
        <w:ind w:left="3600" w:hanging="360"/>
      </w:pPr>
      <w:rPr>
        <w:rFonts w:ascii="Arial" w:hAnsi="Arial" w:hint="default"/>
      </w:rPr>
    </w:lvl>
    <w:lvl w:ilvl="5" w:tplc="D6C013CE" w:tentative="1">
      <w:start w:val="1"/>
      <w:numFmt w:val="bullet"/>
      <w:lvlText w:val="•"/>
      <w:lvlJc w:val="left"/>
      <w:pPr>
        <w:tabs>
          <w:tab w:val="num" w:pos="4320"/>
        </w:tabs>
        <w:ind w:left="4320" w:hanging="360"/>
      </w:pPr>
      <w:rPr>
        <w:rFonts w:ascii="Arial" w:hAnsi="Arial" w:hint="default"/>
      </w:rPr>
    </w:lvl>
    <w:lvl w:ilvl="6" w:tplc="2DEE5698" w:tentative="1">
      <w:start w:val="1"/>
      <w:numFmt w:val="bullet"/>
      <w:lvlText w:val="•"/>
      <w:lvlJc w:val="left"/>
      <w:pPr>
        <w:tabs>
          <w:tab w:val="num" w:pos="5040"/>
        </w:tabs>
        <w:ind w:left="5040" w:hanging="360"/>
      </w:pPr>
      <w:rPr>
        <w:rFonts w:ascii="Arial" w:hAnsi="Arial" w:hint="default"/>
      </w:rPr>
    </w:lvl>
    <w:lvl w:ilvl="7" w:tplc="79E6CB6C" w:tentative="1">
      <w:start w:val="1"/>
      <w:numFmt w:val="bullet"/>
      <w:lvlText w:val="•"/>
      <w:lvlJc w:val="left"/>
      <w:pPr>
        <w:tabs>
          <w:tab w:val="num" w:pos="5760"/>
        </w:tabs>
        <w:ind w:left="5760" w:hanging="360"/>
      </w:pPr>
      <w:rPr>
        <w:rFonts w:ascii="Arial" w:hAnsi="Arial" w:hint="default"/>
      </w:rPr>
    </w:lvl>
    <w:lvl w:ilvl="8" w:tplc="A88800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D26F23"/>
    <w:multiLevelType w:val="hybridMultilevel"/>
    <w:tmpl w:val="BB342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76BA04C6"/>
    <w:multiLevelType w:val="hybridMultilevel"/>
    <w:tmpl w:val="A1782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CD704E9"/>
    <w:multiLevelType w:val="hybridMultilevel"/>
    <w:tmpl w:val="1E10A13E"/>
    <w:lvl w:ilvl="0" w:tplc="725A85F4">
      <w:start w:val="1"/>
      <w:numFmt w:val="decimal"/>
      <w:lvlText w:val="%1."/>
      <w:lvlJc w:val="left"/>
      <w:pPr>
        <w:tabs>
          <w:tab w:val="num" w:pos="720"/>
        </w:tabs>
        <w:ind w:left="720" w:hanging="360"/>
      </w:pPr>
    </w:lvl>
    <w:lvl w:ilvl="1" w:tplc="5CE2A948">
      <w:start w:val="3678"/>
      <w:numFmt w:val="bullet"/>
      <w:lvlText w:val="•"/>
      <w:lvlJc w:val="left"/>
      <w:pPr>
        <w:tabs>
          <w:tab w:val="num" w:pos="1440"/>
        </w:tabs>
        <w:ind w:left="1440" w:hanging="360"/>
      </w:pPr>
      <w:rPr>
        <w:rFonts w:ascii="Arial" w:hAnsi="Arial" w:hint="default"/>
      </w:rPr>
    </w:lvl>
    <w:lvl w:ilvl="2" w:tplc="BBF42922" w:tentative="1">
      <w:start w:val="1"/>
      <w:numFmt w:val="decimal"/>
      <w:lvlText w:val="%3."/>
      <w:lvlJc w:val="left"/>
      <w:pPr>
        <w:tabs>
          <w:tab w:val="num" w:pos="2160"/>
        </w:tabs>
        <w:ind w:left="2160" w:hanging="360"/>
      </w:pPr>
    </w:lvl>
    <w:lvl w:ilvl="3" w:tplc="78444AAE" w:tentative="1">
      <w:start w:val="1"/>
      <w:numFmt w:val="decimal"/>
      <w:lvlText w:val="%4."/>
      <w:lvlJc w:val="left"/>
      <w:pPr>
        <w:tabs>
          <w:tab w:val="num" w:pos="2880"/>
        </w:tabs>
        <w:ind w:left="2880" w:hanging="360"/>
      </w:pPr>
    </w:lvl>
    <w:lvl w:ilvl="4" w:tplc="455666A2" w:tentative="1">
      <w:start w:val="1"/>
      <w:numFmt w:val="decimal"/>
      <w:lvlText w:val="%5."/>
      <w:lvlJc w:val="left"/>
      <w:pPr>
        <w:tabs>
          <w:tab w:val="num" w:pos="3600"/>
        </w:tabs>
        <w:ind w:left="3600" w:hanging="360"/>
      </w:pPr>
    </w:lvl>
    <w:lvl w:ilvl="5" w:tplc="C1E4DD84" w:tentative="1">
      <w:start w:val="1"/>
      <w:numFmt w:val="decimal"/>
      <w:lvlText w:val="%6."/>
      <w:lvlJc w:val="left"/>
      <w:pPr>
        <w:tabs>
          <w:tab w:val="num" w:pos="4320"/>
        </w:tabs>
        <w:ind w:left="4320" w:hanging="360"/>
      </w:pPr>
    </w:lvl>
    <w:lvl w:ilvl="6" w:tplc="CE5646F2" w:tentative="1">
      <w:start w:val="1"/>
      <w:numFmt w:val="decimal"/>
      <w:lvlText w:val="%7."/>
      <w:lvlJc w:val="left"/>
      <w:pPr>
        <w:tabs>
          <w:tab w:val="num" w:pos="5040"/>
        </w:tabs>
        <w:ind w:left="5040" w:hanging="360"/>
      </w:pPr>
    </w:lvl>
    <w:lvl w:ilvl="7" w:tplc="12CA4404" w:tentative="1">
      <w:start w:val="1"/>
      <w:numFmt w:val="decimal"/>
      <w:lvlText w:val="%8."/>
      <w:lvlJc w:val="left"/>
      <w:pPr>
        <w:tabs>
          <w:tab w:val="num" w:pos="5760"/>
        </w:tabs>
        <w:ind w:left="5760" w:hanging="360"/>
      </w:pPr>
    </w:lvl>
    <w:lvl w:ilvl="8" w:tplc="BD9C87E8" w:tentative="1">
      <w:start w:val="1"/>
      <w:numFmt w:val="decimal"/>
      <w:lvlText w:val="%9."/>
      <w:lvlJc w:val="left"/>
      <w:pPr>
        <w:tabs>
          <w:tab w:val="num" w:pos="6480"/>
        </w:tabs>
        <w:ind w:left="6480" w:hanging="360"/>
      </w:pPr>
    </w:lvl>
  </w:abstractNum>
  <w:abstractNum w:abstractNumId="23" w15:restartNumberingAfterBreak="0">
    <w:nsid w:val="7E793A7E"/>
    <w:multiLevelType w:val="hybridMultilevel"/>
    <w:tmpl w:val="F1667C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1"/>
  </w:num>
  <w:num w:numId="3">
    <w:abstractNumId w:val="6"/>
  </w:num>
  <w:num w:numId="4">
    <w:abstractNumId w:val="14"/>
  </w:num>
  <w:num w:numId="5">
    <w:abstractNumId w:val="19"/>
  </w:num>
  <w:num w:numId="6">
    <w:abstractNumId w:val="0"/>
  </w:num>
  <w:num w:numId="7">
    <w:abstractNumId w:val="7"/>
  </w:num>
  <w:num w:numId="8">
    <w:abstractNumId w:val="22"/>
  </w:num>
  <w:num w:numId="9">
    <w:abstractNumId w:val="9"/>
  </w:num>
  <w:num w:numId="10">
    <w:abstractNumId w:val="1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1"/>
  </w:num>
  <w:num w:numId="14">
    <w:abstractNumId w:val="13"/>
  </w:num>
  <w:num w:numId="15">
    <w:abstractNumId w:val="3"/>
  </w:num>
  <w:num w:numId="16">
    <w:abstractNumId w:val="10"/>
  </w:num>
  <w:num w:numId="17">
    <w:abstractNumId w:val="2"/>
  </w:num>
  <w:num w:numId="18">
    <w:abstractNumId w:val="16"/>
  </w:num>
  <w:num w:numId="19">
    <w:abstractNumId w:val="20"/>
  </w:num>
  <w:num w:numId="20">
    <w:abstractNumId w:val="18"/>
  </w:num>
  <w:num w:numId="21">
    <w:abstractNumId w:val="5"/>
  </w:num>
  <w:num w:numId="22">
    <w:abstractNumId w:val="17"/>
  </w:num>
  <w:num w:numId="23">
    <w:abstractNumId w:val="15"/>
  </w:num>
  <w:num w:numId="24">
    <w:abstractNumId w:val="23"/>
  </w:num>
  <w:num w:numId="25">
    <w:abstractNumId w:val="11"/>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1AF"/>
    <w:rsid w:val="00021913"/>
    <w:rsid w:val="00076B18"/>
    <w:rsid w:val="000862D7"/>
    <w:rsid w:val="000874E3"/>
    <w:rsid w:val="000A5821"/>
    <w:rsid w:val="000C1F57"/>
    <w:rsid w:val="000D1764"/>
    <w:rsid w:val="000D4FDC"/>
    <w:rsid w:val="000F1770"/>
    <w:rsid w:val="00101B4C"/>
    <w:rsid w:val="00106C95"/>
    <w:rsid w:val="00123EEE"/>
    <w:rsid w:val="001343FD"/>
    <w:rsid w:val="00144387"/>
    <w:rsid w:val="00173BA4"/>
    <w:rsid w:val="00193D94"/>
    <w:rsid w:val="00195876"/>
    <w:rsid w:val="00196FD3"/>
    <w:rsid w:val="001A2F9C"/>
    <w:rsid w:val="001A3B82"/>
    <w:rsid w:val="001B0683"/>
    <w:rsid w:val="001B0E9E"/>
    <w:rsid w:val="001C0CA9"/>
    <w:rsid w:val="001C0FE7"/>
    <w:rsid w:val="001C362A"/>
    <w:rsid w:val="001C497B"/>
    <w:rsid w:val="001F0A1A"/>
    <w:rsid w:val="002346E6"/>
    <w:rsid w:val="002434E7"/>
    <w:rsid w:val="0024392D"/>
    <w:rsid w:val="002675A5"/>
    <w:rsid w:val="00270600"/>
    <w:rsid w:val="002813D1"/>
    <w:rsid w:val="002C16C3"/>
    <w:rsid w:val="002C5787"/>
    <w:rsid w:val="002D2392"/>
    <w:rsid w:val="003108C1"/>
    <w:rsid w:val="003326D7"/>
    <w:rsid w:val="003A14F7"/>
    <w:rsid w:val="003E1FBF"/>
    <w:rsid w:val="0041271E"/>
    <w:rsid w:val="00430173"/>
    <w:rsid w:val="004301AF"/>
    <w:rsid w:val="004557A7"/>
    <w:rsid w:val="00473BD8"/>
    <w:rsid w:val="004923B2"/>
    <w:rsid w:val="004D1B5C"/>
    <w:rsid w:val="0052573B"/>
    <w:rsid w:val="005268C1"/>
    <w:rsid w:val="00551DF8"/>
    <w:rsid w:val="00555CF1"/>
    <w:rsid w:val="00572E84"/>
    <w:rsid w:val="00574FAC"/>
    <w:rsid w:val="0058225B"/>
    <w:rsid w:val="0059605A"/>
    <w:rsid w:val="005A1EFC"/>
    <w:rsid w:val="005D7206"/>
    <w:rsid w:val="00645699"/>
    <w:rsid w:val="006B4DDB"/>
    <w:rsid w:val="006F4C89"/>
    <w:rsid w:val="00701E06"/>
    <w:rsid w:val="00715D78"/>
    <w:rsid w:val="00722DEC"/>
    <w:rsid w:val="007355CF"/>
    <w:rsid w:val="00757D40"/>
    <w:rsid w:val="00762183"/>
    <w:rsid w:val="00773978"/>
    <w:rsid w:val="007954CA"/>
    <w:rsid w:val="00795720"/>
    <w:rsid w:val="00795BCC"/>
    <w:rsid w:val="007E6021"/>
    <w:rsid w:val="007F0217"/>
    <w:rsid w:val="00804DB7"/>
    <w:rsid w:val="00812FBF"/>
    <w:rsid w:val="0088383D"/>
    <w:rsid w:val="008909D0"/>
    <w:rsid w:val="008F4D5A"/>
    <w:rsid w:val="0090142A"/>
    <w:rsid w:val="00956367"/>
    <w:rsid w:val="00984275"/>
    <w:rsid w:val="00990F8E"/>
    <w:rsid w:val="009B13F5"/>
    <w:rsid w:val="009B59F2"/>
    <w:rsid w:val="009D03A3"/>
    <w:rsid w:val="009D4EA4"/>
    <w:rsid w:val="00A021DC"/>
    <w:rsid w:val="00A35341"/>
    <w:rsid w:val="00A46774"/>
    <w:rsid w:val="00A61C49"/>
    <w:rsid w:val="00A81A28"/>
    <w:rsid w:val="00A864D5"/>
    <w:rsid w:val="00AA3A04"/>
    <w:rsid w:val="00AB7190"/>
    <w:rsid w:val="00AC3869"/>
    <w:rsid w:val="00AE18F2"/>
    <w:rsid w:val="00AE604C"/>
    <w:rsid w:val="00AF6E32"/>
    <w:rsid w:val="00B35824"/>
    <w:rsid w:val="00B406A8"/>
    <w:rsid w:val="00B57D50"/>
    <w:rsid w:val="00B604B4"/>
    <w:rsid w:val="00B8688C"/>
    <w:rsid w:val="00B87FB0"/>
    <w:rsid w:val="00B95469"/>
    <w:rsid w:val="00B96648"/>
    <w:rsid w:val="00B97477"/>
    <w:rsid w:val="00BA53FF"/>
    <w:rsid w:val="00BC705C"/>
    <w:rsid w:val="00BE6B08"/>
    <w:rsid w:val="00C16F15"/>
    <w:rsid w:val="00C348F2"/>
    <w:rsid w:val="00C713E4"/>
    <w:rsid w:val="00C80AAE"/>
    <w:rsid w:val="00C97244"/>
    <w:rsid w:val="00CB0394"/>
    <w:rsid w:val="00CB6432"/>
    <w:rsid w:val="00CC31D8"/>
    <w:rsid w:val="00CC35E7"/>
    <w:rsid w:val="00D020D4"/>
    <w:rsid w:val="00D04DA7"/>
    <w:rsid w:val="00D32716"/>
    <w:rsid w:val="00D35322"/>
    <w:rsid w:val="00D45ECB"/>
    <w:rsid w:val="00D735EF"/>
    <w:rsid w:val="00DB6211"/>
    <w:rsid w:val="00DF7EF2"/>
    <w:rsid w:val="00E41225"/>
    <w:rsid w:val="00E52C60"/>
    <w:rsid w:val="00E646E0"/>
    <w:rsid w:val="00EE3915"/>
    <w:rsid w:val="00F249BF"/>
    <w:rsid w:val="00F40B0F"/>
    <w:rsid w:val="00F554AE"/>
    <w:rsid w:val="00F647E0"/>
    <w:rsid w:val="00F76765"/>
    <w:rsid w:val="00F83628"/>
    <w:rsid w:val="00FC33CA"/>
    <w:rsid w:val="00FE7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928CD6"/>
  <w15:docId w15:val="{54707DCC-A53F-4947-B3F5-2E90BE15D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ind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56367"/>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56367"/>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56367"/>
    <w:pPr>
      <w:keepNext/>
      <w:keepLines/>
      <w:numPr>
        <w:ilvl w:val="2"/>
        <w:numId w:val="1"/>
      </w:numPr>
      <w:spacing w:before="40" w:after="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956367"/>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56367"/>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5636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5636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5636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5636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63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367"/>
  </w:style>
  <w:style w:type="paragraph" w:styleId="Footer">
    <w:name w:val="footer"/>
    <w:basedOn w:val="Normal"/>
    <w:link w:val="FooterChar"/>
    <w:uiPriority w:val="99"/>
    <w:unhideWhenUsed/>
    <w:rsid w:val="009563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367"/>
  </w:style>
  <w:style w:type="paragraph" w:styleId="ListParagraph">
    <w:name w:val="List Paragraph"/>
    <w:basedOn w:val="Normal"/>
    <w:uiPriority w:val="34"/>
    <w:qFormat/>
    <w:rsid w:val="00956367"/>
    <w:pPr>
      <w:ind w:left="720"/>
      <w:contextualSpacing/>
    </w:pPr>
  </w:style>
  <w:style w:type="character" w:customStyle="1" w:styleId="Heading1Char">
    <w:name w:val="Heading 1 Char"/>
    <w:basedOn w:val="DefaultParagraphFont"/>
    <w:link w:val="Heading1"/>
    <w:uiPriority w:val="9"/>
    <w:rsid w:val="0095636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5636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56367"/>
    <w:rPr>
      <w:rFonts w:asciiTheme="majorHAnsi" w:eastAsiaTheme="majorEastAsia" w:hAnsiTheme="majorHAnsi" w:cstheme="majorBidi"/>
      <w:color w:val="1F4D78" w:themeColor="accent1" w:themeShade="7F"/>
      <w:szCs w:val="24"/>
    </w:rPr>
  </w:style>
  <w:style w:type="character" w:customStyle="1" w:styleId="Heading4Char">
    <w:name w:val="Heading 4 Char"/>
    <w:basedOn w:val="DefaultParagraphFont"/>
    <w:link w:val="Heading4"/>
    <w:uiPriority w:val="9"/>
    <w:semiHidden/>
    <w:rsid w:val="0095636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5636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5636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5636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5636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56367"/>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0219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913"/>
    <w:rPr>
      <w:rFonts w:ascii="Segoe UI" w:hAnsi="Segoe UI" w:cs="Segoe UI"/>
      <w:sz w:val="18"/>
      <w:szCs w:val="18"/>
    </w:rPr>
  </w:style>
  <w:style w:type="character" w:styleId="CommentReference">
    <w:name w:val="annotation reference"/>
    <w:basedOn w:val="DefaultParagraphFont"/>
    <w:uiPriority w:val="99"/>
    <w:semiHidden/>
    <w:unhideWhenUsed/>
    <w:rsid w:val="005D7206"/>
    <w:rPr>
      <w:sz w:val="16"/>
      <w:szCs w:val="16"/>
    </w:rPr>
  </w:style>
  <w:style w:type="paragraph" w:styleId="CommentText">
    <w:name w:val="annotation text"/>
    <w:basedOn w:val="Normal"/>
    <w:link w:val="CommentTextChar"/>
    <w:uiPriority w:val="99"/>
    <w:semiHidden/>
    <w:unhideWhenUsed/>
    <w:rsid w:val="005D7206"/>
    <w:pPr>
      <w:spacing w:line="240" w:lineRule="auto"/>
    </w:pPr>
    <w:rPr>
      <w:sz w:val="20"/>
      <w:szCs w:val="20"/>
    </w:rPr>
  </w:style>
  <w:style w:type="character" w:customStyle="1" w:styleId="CommentTextChar">
    <w:name w:val="Comment Text Char"/>
    <w:basedOn w:val="DefaultParagraphFont"/>
    <w:link w:val="CommentText"/>
    <w:uiPriority w:val="99"/>
    <w:semiHidden/>
    <w:rsid w:val="005D7206"/>
    <w:rPr>
      <w:sz w:val="20"/>
      <w:szCs w:val="20"/>
    </w:rPr>
  </w:style>
  <w:style w:type="paragraph" w:styleId="CommentSubject">
    <w:name w:val="annotation subject"/>
    <w:basedOn w:val="CommentText"/>
    <w:next w:val="CommentText"/>
    <w:link w:val="CommentSubjectChar"/>
    <w:uiPriority w:val="99"/>
    <w:semiHidden/>
    <w:unhideWhenUsed/>
    <w:rsid w:val="005D7206"/>
    <w:rPr>
      <w:b/>
      <w:bCs/>
    </w:rPr>
  </w:style>
  <w:style w:type="character" w:customStyle="1" w:styleId="CommentSubjectChar">
    <w:name w:val="Comment Subject Char"/>
    <w:basedOn w:val="CommentTextChar"/>
    <w:link w:val="CommentSubject"/>
    <w:uiPriority w:val="99"/>
    <w:semiHidden/>
    <w:rsid w:val="005D7206"/>
    <w:rPr>
      <w:b/>
      <w:bCs/>
      <w:sz w:val="20"/>
      <w:szCs w:val="20"/>
    </w:rPr>
  </w:style>
  <w:style w:type="table" w:styleId="TableGrid">
    <w:name w:val="Table Grid"/>
    <w:basedOn w:val="TableNormal"/>
    <w:uiPriority w:val="39"/>
    <w:rsid w:val="00C97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C35E7"/>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79672">
      <w:bodyDiv w:val="1"/>
      <w:marLeft w:val="0"/>
      <w:marRight w:val="0"/>
      <w:marTop w:val="0"/>
      <w:marBottom w:val="0"/>
      <w:divBdr>
        <w:top w:val="none" w:sz="0" w:space="0" w:color="auto"/>
        <w:left w:val="none" w:sz="0" w:space="0" w:color="auto"/>
        <w:bottom w:val="none" w:sz="0" w:space="0" w:color="auto"/>
        <w:right w:val="none" w:sz="0" w:space="0" w:color="auto"/>
      </w:divBdr>
    </w:div>
    <w:div w:id="299114404">
      <w:bodyDiv w:val="1"/>
      <w:marLeft w:val="0"/>
      <w:marRight w:val="0"/>
      <w:marTop w:val="0"/>
      <w:marBottom w:val="0"/>
      <w:divBdr>
        <w:top w:val="none" w:sz="0" w:space="0" w:color="auto"/>
        <w:left w:val="none" w:sz="0" w:space="0" w:color="auto"/>
        <w:bottom w:val="none" w:sz="0" w:space="0" w:color="auto"/>
        <w:right w:val="none" w:sz="0" w:space="0" w:color="auto"/>
      </w:divBdr>
      <w:divsChild>
        <w:div w:id="1649742908">
          <w:marLeft w:val="446"/>
          <w:marRight w:val="0"/>
          <w:marTop w:val="0"/>
          <w:marBottom w:val="0"/>
          <w:divBdr>
            <w:top w:val="none" w:sz="0" w:space="0" w:color="auto"/>
            <w:left w:val="none" w:sz="0" w:space="0" w:color="auto"/>
            <w:bottom w:val="none" w:sz="0" w:space="0" w:color="auto"/>
            <w:right w:val="none" w:sz="0" w:space="0" w:color="auto"/>
          </w:divBdr>
        </w:div>
        <w:div w:id="1319922078">
          <w:marLeft w:val="446"/>
          <w:marRight w:val="0"/>
          <w:marTop w:val="0"/>
          <w:marBottom w:val="0"/>
          <w:divBdr>
            <w:top w:val="none" w:sz="0" w:space="0" w:color="auto"/>
            <w:left w:val="none" w:sz="0" w:space="0" w:color="auto"/>
            <w:bottom w:val="none" w:sz="0" w:space="0" w:color="auto"/>
            <w:right w:val="none" w:sz="0" w:space="0" w:color="auto"/>
          </w:divBdr>
        </w:div>
        <w:div w:id="1054740181">
          <w:marLeft w:val="1166"/>
          <w:marRight w:val="0"/>
          <w:marTop w:val="0"/>
          <w:marBottom w:val="0"/>
          <w:divBdr>
            <w:top w:val="none" w:sz="0" w:space="0" w:color="auto"/>
            <w:left w:val="none" w:sz="0" w:space="0" w:color="auto"/>
            <w:bottom w:val="none" w:sz="0" w:space="0" w:color="auto"/>
            <w:right w:val="none" w:sz="0" w:space="0" w:color="auto"/>
          </w:divBdr>
        </w:div>
      </w:divsChild>
    </w:div>
    <w:div w:id="392894929">
      <w:bodyDiv w:val="1"/>
      <w:marLeft w:val="0"/>
      <w:marRight w:val="0"/>
      <w:marTop w:val="0"/>
      <w:marBottom w:val="0"/>
      <w:divBdr>
        <w:top w:val="none" w:sz="0" w:space="0" w:color="auto"/>
        <w:left w:val="none" w:sz="0" w:space="0" w:color="auto"/>
        <w:bottom w:val="none" w:sz="0" w:space="0" w:color="auto"/>
        <w:right w:val="none" w:sz="0" w:space="0" w:color="auto"/>
      </w:divBdr>
      <w:divsChild>
        <w:div w:id="820006465">
          <w:marLeft w:val="547"/>
          <w:marRight w:val="0"/>
          <w:marTop w:val="0"/>
          <w:marBottom w:val="0"/>
          <w:divBdr>
            <w:top w:val="none" w:sz="0" w:space="0" w:color="auto"/>
            <w:left w:val="none" w:sz="0" w:space="0" w:color="auto"/>
            <w:bottom w:val="none" w:sz="0" w:space="0" w:color="auto"/>
            <w:right w:val="none" w:sz="0" w:space="0" w:color="auto"/>
          </w:divBdr>
        </w:div>
        <w:div w:id="1116296409">
          <w:marLeft w:val="1267"/>
          <w:marRight w:val="0"/>
          <w:marTop w:val="0"/>
          <w:marBottom w:val="0"/>
          <w:divBdr>
            <w:top w:val="none" w:sz="0" w:space="0" w:color="auto"/>
            <w:left w:val="none" w:sz="0" w:space="0" w:color="auto"/>
            <w:bottom w:val="none" w:sz="0" w:space="0" w:color="auto"/>
            <w:right w:val="none" w:sz="0" w:space="0" w:color="auto"/>
          </w:divBdr>
        </w:div>
        <w:div w:id="899176110">
          <w:marLeft w:val="1267"/>
          <w:marRight w:val="0"/>
          <w:marTop w:val="0"/>
          <w:marBottom w:val="0"/>
          <w:divBdr>
            <w:top w:val="none" w:sz="0" w:space="0" w:color="auto"/>
            <w:left w:val="none" w:sz="0" w:space="0" w:color="auto"/>
            <w:bottom w:val="none" w:sz="0" w:space="0" w:color="auto"/>
            <w:right w:val="none" w:sz="0" w:space="0" w:color="auto"/>
          </w:divBdr>
        </w:div>
        <w:div w:id="1595898617">
          <w:marLeft w:val="547"/>
          <w:marRight w:val="0"/>
          <w:marTop w:val="0"/>
          <w:marBottom w:val="0"/>
          <w:divBdr>
            <w:top w:val="none" w:sz="0" w:space="0" w:color="auto"/>
            <w:left w:val="none" w:sz="0" w:space="0" w:color="auto"/>
            <w:bottom w:val="none" w:sz="0" w:space="0" w:color="auto"/>
            <w:right w:val="none" w:sz="0" w:space="0" w:color="auto"/>
          </w:divBdr>
        </w:div>
        <w:div w:id="1241452494">
          <w:marLeft w:val="1267"/>
          <w:marRight w:val="0"/>
          <w:marTop w:val="0"/>
          <w:marBottom w:val="0"/>
          <w:divBdr>
            <w:top w:val="none" w:sz="0" w:space="0" w:color="auto"/>
            <w:left w:val="none" w:sz="0" w:space="0" w:color="auto"/>
            <w:bottom w:val="none" w:sz="0" w:space="0" w:color="auto"/>
            <w:right w:val="none" w:sz="0" w:space="0" w:color="auto"/>
          </w:divBdr>
        </w:div>
        <w:div w:id="1552115396">
          <w:marLeft w:val="1267"/>
          <w:marRight w:val="0"/>
          <w:marTop w:val="0"/>
          <w:marBottom w:val="0"/>
          <w:divBdr>
            <w:top w:val="none" w:sz="0" w:space="0" w:color="auto"/>
            <w:left w:val="none" w:sz="0" w:space="0" w:color="auto"/>
            <w:bottom w:val="none" w:sz="0" w:space="0" w:color="auto"/>
            <w:right w:val="none" w:sz="0" w:space="0" w:color="auto"/>
          </w:divBdr>
        </w:div>
      </w:divsChild>
    </w:div>
    <w:div w:id="422533764">
      <w:bodyDiv w:val="1"/>
      <w:marLeft w:val="0"/>
      <w:marRight w:val="0"/>
      <w:marTop w:val="0"/>
      <w:marBottom w:val="0"/>
      <w:divBdr>
        <w:top w:val="none" w:sz="0" w:space="0" w:color="auto"/>
        <w:left w:val="none" w:sz="0" w:space="0" w:color="auto"/>
        <w:bottom w:val="none" w:sz="0" w:space="0" w:color="auto"/>
        <w:right w:val="none" w:sz="0" w:space="0" w:color="auto"/>
      </w:divBdr>
    </w:div>
    <w:div w:id="719088878">
      <w:bodyDiv w:val="1"/>
      <w:marLeft w:val="0"/>
      <w:marRight w:val="0"/>
      <w:marTop w:val="0"/>
      <w:marBottom w:val="0"/>
      <w:divBdr>
        <w:top w:val="none" w:sz="0" w:space="0" w:color="auto"/>
        <w:left w:val="none" w:sz="0" w:space="0" w:color="auto"/>
        <w:bottom w:val="none" w:sz="0" w:space="0" w:color="auto"/>
        <w:right w:val="none" w:sz="0" w:space="0" w:color="auto"/>
      </w:divBdr>
    </w:div>
    <w:div w:id="829830936">
      <w:bodyDiv w:val="1"/>
      <w:marLeft w:val="0"/>
      <w:marRight w:val="0"/>
      <w:marTop w:val="0"/>
      <w:marBottom w:val="0"/>
      <w:divBdr>
        <w:top w:val="none" w:sz="0" w:space="0" w:color="auto"/>
        <w:left w:val="none" w:sz="0" w:space="0" w:color="auto"/>
        <w:bottom w:val="none" w:sz="0" w:space="0" w:color="auto"/>
        <w:right w:val="none" w:sz="0" w:space="0" w:color="auto"/>
      </w:divBdr>
    </w:div>
    <w:div w:id="1009872598">
      <w:bodyDiv w:val="1"/>
      <w:marLeft w:val="0"/>
      <w:marRight w:val="0"/>
      <w:marTop w:val="0"/>
      <w:marBottom w:val="0"/>
      <w:divBdr>
        <w:top w:val="none" w:sz="0" w:space="0" w:color="auto"/>
        <w:left w:val="none" w:sz="0" w:space="0" w:color="auto"/>
        <w:bottom w:val="none" w:sz="0" w:space="0" w:color="auto"/>
        <w:right w:val="none" w:sz="0" w:space="0" w:color="auto"/>
      </w:divBdr>
    </w:div>
    <w:div w:id="1150362149">
      <w:bodyDiv w:val="1"/>
      <w:marLeft w:val="0"/>
      <w:marRight w:val="0"/>
      <w:marTop w:val="0"/>
      <w:marBottom w:val="0"/>
      <w:divBdr>
        <w:top w:val="none" w:sz="0" w:space="0" w:color="auto"/>
        <w:left w:val="none" w:sz="0" w:space="0" w:color="auto"/>
        <w:bottom w:val="none" w:sz="0" w:space="0" w:color="auto"/>
        <w:right w:val="none" w:sz="0" w:space="0" w:color="auto"/>
      </w:divBdr>
      <w:divsChild>
        <w:div w:id="978153004">
          <w:marLeft w:val="446"/>
          <w:marRight w:val="0"/>
          <w:marTop w:val="0"/>
          <w:marBottom w:val="0"/>
          <w:divBdr>
            <w:top w:val="none" w:sz="0" w:space="0" w:color="auto"/>
            <w:left w:val="none" w:sz="0" w:space="0" w:color="auto"/>
            <w:bottom w:val="none" w:sz="0" w:space="0" w:color="auto"/>
            <w:right w:val="none" w:sz="0" w:space="0" w:color="auto"/>
          </w:divBdr>
        </w:div>
        <w:div w:id="1769499082">
          <w:marLeft w:val="1166"/>
          <w:marRight w:val="0"/>
          <w:marTop w:val="0"/>
          <w:marBottom w:val="0"/>
          <w:divBdr>
            <w:top w:val="none" w:sz="0" w:space="0" w:color="auto"/>
            <w:left w:val="none" w:sz="0" w:space="0" w:color="auto"/>
            <w:bottom w:val="none" w:sz="0" w:space="0" w:color="auto"/>
            <w:right w:val="none" w:sz="0" w:space="0" w:color="auto"/>
          </w:divBdr>
        </w:div>
        <w:div w:id="1734042463">
          <w:marLeft w:val="1166"/>
          <w:marRight w:val="0"/>
          <w:marTop w:val="0"/>
          <w:marBottom w:val="0"/>
          <w:divBdr>
            <w:top w:val="none" w:sz="0" w:space="0" w:color="auto"/>
            <w:left w:val="none" w:sz="0" w:space="0" w:color="auto"/>
            <w:bottom w:val="none" w:sz="0" w:space="0" w:color="auto"/>
            <w:right w:val="none" w:sz="0" w:space="0" w:color="auto"/>
          </w:divBdr>
        </w:div>
        <w:div w:id="82773815">
          <w:marLeft w:val="446"/>
          <w:marRight w:val="0"/>
          <w:marTop w:val="0"/>
          <w:marBottom w:val="0"/>
          <w:divBdr>
            <w:top w:val="none" w:sz="0" w:space="0" w:color="auto"/>
            <w:left w:val="none" w:sz="0" w:space="0" w:color="auto"/>
            <w:bottom w:val="none" w:sz="0" w:space="0" w:color="auto"/>
            <w:right w:val="none" w:sz="0" w:space="0" w:color="auto"/>
          </w:divBdr>
        </w:div>
        <w:div w:id="1835342856">
          <w:marLeft w:val="446"/>
          <w:marRight w:val="0"/>
          <w:marTop w:val="0"/>
          <w:marBottom w:val="0"/>
          <w:divBdr>
            <w:top w:val="none" w:sz="0" w:space="0" w:color="auto"/>
            <w:left w:val="none" w:sz="0" w:space="0" w:color="auto"/>
            <w:bottom w:val="none" w:sz="0" w:space="0" w:color="auto"/>
            <w:right w:val="none" w:sz="0" w:space="0" w:color="auto"/>
          </w:divBdr>
        </w:div>
        <w:div w:id="1481269313">
          <w:marLeft w:val="446"/>
          <w:marRight w:val="0"/>
          <w:marTop w:val="0"/>
          <w:marBottom w:val="0"/>
          <w:divBdr>
            <w:top w:val="none" w:sz="0" w:space="0" w:color="auto"/>
            <w:left w:val="none" w:sz="0" w:space="0" w:color="auto"/>
            <w:bottom w:val="none" w:sz="0" w:space="0" w:color="auto"/>
            <w:right w:val="none" w:sz="0" w:space="0" w:color="auto"/>
          </w:divBdr>
        </w:div>
      </w:divsChild>
    </w:div>
    <w:div w:id="1254968633">
      <w:bodyDiv w:val="1"/>
      <w:marLeft w:val="0"/>
      <w:marRight w:val="0"/>
      <w:marTop w:val="0"/>
      <w:marBottom w:val="0"/>
      <w:divBdr>
        <w:top w:val="none" w:sz="0" w:space="0" w:color="auto"/>
        <w:left w:val="none" w:sz="0" w:space="0" w:color="auto"/>
        <w:bottom w:val="none" w:sz="0" w:space="0" w:color="auto"/>
        <w:right w:val="none" w:sz="0" w:space="0" w:color="auto"/>
      </w:divBdr>
    </w:div>
    <w:div w:id="1317539729">
      <w:bodyDiv w:val="1"/>
      <w:marLeft w:val="0"/>
      <w:marRight w:val="0"/>
      <w:marTop w:val="0"/>
      <w:marBottom w:val="0"/>
      <w:divBdr>
        <w:top w:val="none" w:sz="0" w:space="0" w:color="auto"/>
        <w:left w:val="none" w:sz="0" w:space="0" w:color="auto"/>
        <w:bottom w:val="none" w:sz="0" w:space="0" w:color="auto"/>
        <w:right w:val="none" w:sz="0" w:space="0" w:color="auto"/>
      </w:divBdr>
      <w:divsChild>
        <w:div w:id="1309626236">
          <w:marLeft w:val="446"/>
          <w:marRight w:val="0"/>
          <w:marTop w:val="0"/>
          <w:marBottom w:val="0"/>
          <w:divBdr>
            <w:top w:val="none" w:sz="0" w:space="0" w:color="auto"/>
            <w:left w:val="none" w:sz="0" w:space="0" w:color="auto"/>
            <w:bottom w:val="none" w:sz="0" w:space="0" w:color="auto"/>
            <w:right w:val="none" w:sz="0" w:space="0" w:color="auto"/>
          </w:divBdr>
        </w:div>
        <w:div w:id="139930263">
          <w:marLeft w:val="446"/>
          <w:marRight w:val="0"/>
          <w:marTop w:val="0"/>
          <w:marBottom w:val="0"/>
          <w:divBdr>
            <w:top w:val="none" w:sz="0" w:space="0" w:color="auto"/>
            <w:left w:val="none" w:sz="0" w:space="0" w:color="auto"/>
            <w:bottom w:val="none" w:sz="0" w:space="0" w:color="auto"/>
            <w:right w:val="none" w:sz="0" w:space="0" w:color="auto"/>
          </w:divBdr>
        </w:div>
        <w:div w:id="1723629531">
          <w:marLeft w:val="446"/>
          <w:marRight w:val="0"/>
          <w:marTop w:val="0"/>
          <w:marBottom w:val="0"/>
          <w:divBdr>
            <w:top w:val="none" w:sz="0" w:space="0" w:color="auto"/>
            <w:left w:val="none" w:sz="0" w:space="0" w:color="auto"/>
            <w:bottom w:val="none" w:sz="0" w:space="0" w:color="auto"/>
            <w:right w:val="none" w:sz="0" w:space="0" w:color="auto"/>
          </w:divBdr>
        </w:div>
        <w:div w:id="775953082">
          <w:marLeft w:val="446"/>
          <w:marRight w:val="0"/>
          <w:marTop w:val="0"/>
          <w:marBottom w:val="0"/>
          <w:divBdr>
            <w:top w:val="none" w:sz="0" w:space="0" w:color="auto"/>
            <w:left w:val="none" w:sz="0" w:space="0" w:color="auto"/>
            <w:bottom w:val="none" w:sz="0" w:space="0" w:color="auto"/>
            <w:right w:val="none" w:sz="0" w:space="0" w:color="auto"/>
          </w:divBdr>
        </w:div>
      </w:divsChild>
    </w:div>
    <w:div w:id="1574582574">
      <w:bodyDiv w:val="1"/>
      <w:marLeft w:val="0"/>
      <w:marRight w:val="0"/>
      <w:marTop w:val="0"/>
      <w:marBottom w:val="0"/>
      <w:divBdr>
        <w:top w:val="none" w:sz="0" w:space="0" w:color="auto"/>
        <w:left w:val="none" w:sz="0" w:space="0" w:color="auto"/>
        <w:bottom w:val="none" w:sz="0" w:space="0" w:color="auto"/>
        <w:right w:val="none" w:sz="0" w:space="0" w:color="auto"/>
      </w:divBdr>
    </w:div>
    <w:div w:id="1617440894">
      <w:bodyDiv w:val="1"/>
      <w:marLeft w:val="0"/>
      <w:marRight w:val="0"/>
      <w:marTop w:val="0"/>
      <w:marBottom w:val="0"/>
      <w:divBdr>
        <w:top w:val="none" w:sz="0" w:space="0" w:color="auto"/>
        <w:left w:val="none" w:sz="0" w:space="0" w:color="auto"/>
        <w:bottom w:val="none" w:sz="0" w:space="0" w:color="auto"/>
        <w:right w:val="none" w:sz="0" w:space="0" w:color="auto"/>
      </w:divBdr>
    </w:div>
    <w:div w:id="1790977836">
      <w:bodyDiv w:val="1"/>
      <w:marLeft w:val="0"/>
      <w:marRight w:val="0"/>
      <w:marTop w:val="0"/>
      <w:marBottom w:val="0"/>
      <w:divBdr>
        <w:top w:val="none" w:sz="0" w:space="0" w:color="auto"/>
        <w:left w:val="none" w:sz="0" w:space="0" w:color="auto"/>
        <w:bottom w:val="none" w:sz="0" w:space="0" w:color="auto"/>
        <w:right w:val="none" w:sz="0" w:space="0" w:color="auto"/>
      </w:divBdr>
    </w:div>
    <w:div w:id="1915578788">
      <w:bodyDiv w:val="1"/>
      <w:marLeft w:val="0"/>
      <w:marRight w:val="0"/>
      <w:marTop w:val="0"/>
      <w:marBottom w:val="0"/>
      <w:divBdr>
        <w:top w:val="none" w:sz="0" w:space="0" w:color="auto"/>
        <w:left w:val="none" w:sz="0" w:space="0" w:color="auto"/>
        <w:bottom w:val="none" w:sz="0" w:space="0" w:color="auto"/>
        <w:right w:val="none" w:sz="0" w:space="0" w:color="auto"/>
      </w:divBdr>
    </w:div>
    <w:div w:id="1927641942">
      <w:bodyDiv w:val="1"/>
      <w:marLeft w:val="0"/>
      <w:marRight w:val="0"/>
      <w:marTop w:val="0"/>
      <w:marBottom w:val="0"/>
      <w:divBdr>
        <w:top w:val="none" w:sz="0" w:space="0" w:color="auto"/>
        <w:left w:val="none" w:sz="0" w:space="0" w:color="auto"/>
        <w:bottom w:val="none" w:sz="0" w:space="0" w:color="auto"/>
        <w:right w:val="none" w:sz="0" w:space="0" w:color="auto"/>
      </w:divBdr>
    </w:div>
    <w:div w:id="2009743540">
      <w:bodyDiv w:val="1"/>
      <w:marLeft w:val="0"/>
      <w:marRight w:val="0"/>
      <w:marTop w:val="0"/>
      <w:marBottom w:val="0"/>
      <w:divBdr>
        <w:top w:val="none" w:sz="0" w:space="0" w:color="auto"/>
        <w:left w:val="none" w:sz="0" w:space="0" w:color="auto"/>
        <w:bottom w:val="none" w:sz="0" w:space="0" w:color="auto"/>
        <w:right w:val="none" w:sz="0" w:space="0" w:color="auto"/>
      </w:divBdr>
    </w:div>
    <w:div w:id="2043433850">
      <w:bodyDiv w:val="1"/>
      <w:marLeft w:val="0"/>
      <w:marRight w:val="0"/>
      <w:marTop w:val="0"/>
      <w:marBottom w:val="0"/>
      <w:divBdr>
        <w:top w:val="none" w:sz="0" w:space="0" w:color="auto"/>
        <w:left w:val="none" w:sz="0" w:space="0" w:color="auto"/>
        <w:bottom w:val="none" w:sz="0" w:space="0" w:color="auto"/>
        <w:right w:val="none" w:sz="0" w:space="0" w:color="auto"/>
      </w:divBdr>
      <w:divsChild>
        <w:div w:id="1502888618">
          <w:marLeft w:val="1267"/>
          <w:marRight w:val="0"/>
          <w:marTop w:val="0"/>
          <w:marBottom w:val="0"/>
          <w:divBdr>
            <w:top w:val="none" w:sz="0" w:space="0" w:color="auto"/>
            <w:left w:val="none" w:sz="0" w:space="0" w:color="auto"/>
            <w:bottom w:val="none" w:sz="0" w:space="0" w:color="auto"/>
            <w:right w:val="none" w:sz="0" w:space="0" w:color="auto"/>
          </w:divBdr>
        </w:div>
        <w:div w:id="1656227737">
          <w:marLeft w:val="1267"/>
          <w:marRight w:val="0"/>
          <w:marTop w:val="0"/>
          <w:marBottom w:val="0"/>
          <w:divBdr>
            <w:top w:val="none" w:sz="0" w:space="0" w:color="auto"/>
            <w:left w:val="none" w:sz="0" w:space="0" w:color="auto"/>
            <w:bottom w:val="none" w:sz="0" w:space="0" w:color="auto"/>
            <w:right w:val="none" w:sz="0" w:space="0" w:color="auto"/>
          </w:divBdr>
        </w:div>
        <w:div w:id="133181248">
          <w:marLeft w:val="1267"/>
          <w:marRight w:val="0"/>
          <w:marTop w:val="0"/>
          <w:marBottom w:val="0"/>
          <w:divBdr>
            <w:top w:val="none" w:sz="0" w:space="0" w:color="auto"/>
            <w:left w:val="none" w:sz="0" w:space="0" w:color="auto"/>
            <w:bottom w:val="none" w:sz="0" w:space="0" w:color="auto"/>
            <w:right w:val="none" w:sz="0" w:space="0" w:color="auto"/>
          </w:divBdr>
        </w:div>
        <w:div w:id="1166244549">
          <w:marLeft w:val="1267"/>
          <w:marRight w:val="0"/>
          <w:marTop w:val="0"/>
          <w:marBottom w:val="0"/>
          <w:divBdr>
            <w:top w:val="none" w:sz="0" w:space="0" w:color="auto"/>
            <w:left w:val="none" w:sz="0" w:space="0" w:color="auto"/>
            <w:bottom w:val="none" w:sz="0" w:space="0" w:color="auto"/>
            <w:right w:val="none" w:sz="0" w:space="0" w:color="auto"/>
          </w:divBdr>
        </w:div>
      </w:divsChild>
    </w:div>
    <w:div w:id="2124425026">
      <w:bodyDiv w:val="1"/>
      <w:marLeft w:val="0"/>
      <w:marRight w:val="0"/>
      <w:marTop w:val="0"/>
      <w:marBottom w:val="0"/>
      <w:divBdr>
        <w:top w:val="none" w:sz="0" w:space="0" w:color="auto"/>
        <w:left w:val="none" w:sz="0" w:space="0" w:color="auto"/>
        <w:bottom w:val="none" w:sz="0" w:space="0" w:color="auto"/>
        <w:right w:val="none" w:sz="0" w:space="0" w:color="auto"/>
      </w:divBdr>
    </w:div>
    <w:div w:id="2137017242">
      <w:bodyDiv w:val="1"/>
      <w:marLeft w:val="0"/>
      <w:marRight w:val="0"/>
      <w:marTop w:val="0"/>
      <w:marBottom w:val="0"/>
      <w:divBdr>
        <w:top w:val="none" w:sz="0" w:space="0" w:color="auto"/>
        <w:left w:val="none" w:sz="0" w:space="0" w:color="auto"/>
        <w:bottom w:val="none" w:sz="0" w:space="0" w:color="auto"/>
        <w:right w:val="none" w:sz="0" w:space="0" w:color="auto"/>
      </w:divBdr>
    </w:div>
    <w:div w:id="213925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2474C-0875-45AE-9B26-73D4B235B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1213</Words>
  <Characters>6917</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Rogas, Keith</dc:creator>
  <cp:lastModifiedBy>Rogas, Keith</cp:lastModifiedBy>
  <cp:revision>2</cp:revision>
  <cp:lastPrinted>2018-06-13T22:04:00Z</cp:lastPrinted>
  <dcterms:created xsi:type="dcterms:W3CDTF">2018-11-30T22:14:00Z</dcterms:created>
  <dcterms:modified xsi:type="dcterms:W3CDTF">2018-11-30T22:14:00Z</dcterms:modified>
</cp:coreProperties>
</file>